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t>Авторы: Чистяков Евгений, Иван Курлыков, Леонид Пластуненко, Николай Кузнецов, Игорь Софронов.</w:t>
      </w:r>
    </w:p>
    <w:p>
      <w:r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t>API: FastAPI, префикс JSON `/api`. Сессия — cookie `product_session`.</w:t>
      </w:r>
    </w:p>
    <w:p>
      <w:pPr>
        <w:pStyle w:val="ListBullet"/>
      </w:pPr>
      <w:r>
        <w:t>Хранилище: один файл SQLite в режиме WAL. На стенде это `/data/app.sqlite` в томе `fsp-sqlite`. Писатель один.</w:t>
      </w:r>
    </w:p>
    <w:p>
      <w:r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 и React в compose нет. Локальный Keycloak есть и в образ приложения не входит.</w:t>
      </w:r>
    </w:p>
    <w:p>
      <w:pPr>
        <w:pStyle w:val="Heading2"/>
      </w:pPr>
      <w:r>
        <w:t>Модели</w:t>
      </w:r>
    </w:p>
    <w:p>
      <w:r>
        <w:t>В обязательном пути жюри моделей нет: категоризация, тест, подбор, разбор PDF и приглашение считаются правилами в `product/matching` и сервисами кабинетов. Разбор резюме — `pypdf` 6.19.0 и локальный словарь `stack_synonyms.json`, без внешнего вызова. Локального инференса нет, GPU на стенде нет и не требуется. Персональные данные (почта, ФИО, анкета) живут в SQLite тома стенда и за контур процесса не уходят. Если позже появится генерация заданий — только российская модель, вне обязательного пути жюри, с отдельным описанием в записке. Перечень допустимых моделей организаторы обещали отдельно, в записку его не подставляем.</w:t>
      </w:r>
    </w:p>
    <w:p>
      <w:pPr>
        <w:pStyle w:val="Heading1"/>
      </w:pPr>
      <w:r>
        <w:t>Механика теста</w:t>
      </w:r>
    </w:p>
    <w:p>
      <w:r>
        <w:t>Испытание не расползается одним общим заданием. Каталог собирается из стемов: на пару «специализация и грейд» приходится три своих шаблона с уникальными формулировками. Какой открыть, решает `select_template` по `profile_id` и `rule_version`. На проходе текст не меняется. Те же ответы на том же шаблоне дают тот же грейд. Отдельных JSON на пару нет. Четвёртого шаблона нет.</w:t>
      </w:r>
    </w:p>
    <w:p>
      <w:r>
        <w:t>Итог подтверждает заявленный грейд или предлагает соседний. Балл ниже порога подтверждения грейд не понижает.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это 90 дней. Интервал держится на шаге вверх и на повторной смене, когда тест уже один раз записал новый грейд. Первая попытка предложенного ниже грейда после `suggest_lower` интервал не ждёт, пока соседний `confirm` не сдвинул записанный грейд. Повтор теста записанного грейда интервал не ждёт. Признак смены — реплей сданных `test_attempts` по `id`, не равенство штампов и не расхождение с анкетой: PDF грейд пишет без флага теста. Сто баллов на грейде ниже (`suggest_higher`) грейд не пишет и интервал не тратит. Записанный грейд меняет лишь соседняя попытка с итогом `confirm`. Кнопки «принять грейд» нет.</w:t>
      </w:r>
    </w:p>
    <w:p>
      <w:r>
        <w:t>Специализаций шесть, грейдов четыре. На пару — три шаблона, буквы a, b и c: 72 шаблона и 216 вопросов, буква c есть на каждой паре. В шаблоне три вопроса, ключи q1=b, q2=c, q3=a, пороги `confirm_min` 50 и `suggest_higher_min` 80. Идентификаторы и ключ ответа на проходе не меняются. Один общий набор не отличает, например, junior backend от lead security.</w:t>
      </w:r>
    </w:p>
    <w:p>
      <w:r>
        <w:t>HTML кабинета показывает варианты по очереди как истинен/ложен и собирает те же три буквы; формула балла не менялась.</w:t>
      </w:r>
    </w:p>
    <w:p>
      <w:r>
        <w:t>Шаг сдачи пишется в черновик попытки: обновление страницы и повторный вход не открывают уже отвеченный вопрос.</w:t>
      </w:r>
    </w:p>
    <w:p>
      <w:r>
        <w:t>Несколько описаний вакансий только показывают выбранный шаблон. Текст вакансии в вопросы не разбирается.</w:t>
      </w:r>
    </w:p>
    <w:p>
      <w:pPr>
        <w:pStyle w:val="Heading1"/>
      </w:pPr>
      <w:r>
        <w:t>Подбор и категоризация</w:t>
      </w:r>
    </w:p>
    <w:p>
      <w:r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t>Ранг внутри категории — один проход `evaluate_need`: кортеж совпадений (стек, роль, формат, признак ФСП, токены текста) и затем `rank_key` `confirmed-score-count-prize-id`. Отдельных баллов за фильтры нет. Пустая потребность оставляет нули в кортеже и прежний порядок. Подходящих не скрываем. В выдаче работодателя опубликованный профиль совпавшей категории; без теста карточка со статусом «не подтверждён» и ниже сдавших той же категории через префикс `rank_key`; без `publication` карточки нет. Фильтр добавляет стек, роль, формат и признак достижений. На карточке фраза из того же прохода, почему этот человек попал в потребность, и следом сравнение с соседней карточкой: подтверждён, балл, число достижений, приз. Сырой rank_key на карточке не показан. Сортировка, ключ, доля в топе и балл грейда от этого не меняются.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r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 до вычета НДФЛ.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t>Прогон читает золотой набор из git и в сеть не ходит.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t>Ниже пять строк запуска со стенда 2026-10-06. Команда `docker compose -f deploy/fsp/compose.yaml --profile test run --rm --build tests` завершилась `43 passed`. В том же образе `python -m product.matching.golden_run` напечатал эти пять строк. Повтор того запуска их не изменил. Набор в git: 38 синтетических профилей, 12 потребностей (`top_k=3`), 4 пары «тот же шаблон — те же ответы», 4 PDF резюме. Это числа того запуска, не цель. Сейчас прогон добавляет строку `grade_separation`: сколько пунктов стемов v1 разделяют грейды и сколько пунктов всего. Порога по ней нет, число в записку не копируется.</w:t>
      </w:r>
    </w:p>
    <w:p>
      <w:r>
        <w:t>category_match 38 38</w:t>
      </w:r>
    </w:p>
    <w:p>
      <w:r>
        <w:t>outcome_match 32 32</w:t>
      </w:r>
    </w:p>
    <w:p>
      <w:r>
        <w:t>template_stable 4 4</w:t>
      </w:r>
    </w:p>
    <w:p>
      <w:r>
        <w:t>relevant_in_top 23 24</w:t>
      </w:r>
    </w:p>
    <w:p>
      <w:r>
        <w:t>resume_ok 4 4</w:t>
      </w:r>
    </w:p>
    <w:p>
      <w:r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t>`category_match` — сколько профилей получили ожидаемую категорию;</w:t>
      </w:r>
    </w:p>
    <w:p>
      <w:pPr>
        <w:pStyle w:val="ListBullet"/>
      </w:pPr>
      <w:r>
        <w:t>`outcome_match` — сколько итогов теста совпали с разметкой;</w:t>
      </w:r>
    </w:p>
    <w:p>
      <w:pPr>
        <w:pStyle w:val="ListBullet"/>
      </w:pPr>
      <w:r>
        <w:t>`template_stable` — сколько повторов того же шаблона и тех же ответов дали тот же грейд;</w:t>
      </w:r>
    </w:p>
    <w:p>
      <w:pPr>
        <w:pStyle w:val="ListBullet"/>
      </w:pPr>
      <w:r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t>`resume_ok` — сколько PDF разобрались без падения процесса;</w:t>
      </w:r>
    </w:p>
    <w:p>
      <w:pPr>
        <w:pStyle w:val="ListBullet"/>
      </w:pPr>
      <w:r>
        <w:t>`grade_separation` — сколько пунктов разделяют грейды и сколько пунктов в стемах v1. Это не порог. Число зависит от стемов этого запуска и в блок выше не входит.</w:t>
      </w:r>
    </w:p>
    <w:p>
      <w:pPr>
        <w:pStyle w:val="Heading1"/>
      </w:pPr>
      <w:r>
        <w:t>Будущая интеграция с реестром ФСП</w:t>
      </w:r>
    </w:p>
    <w:p>
      <w:r>
        <w:t>Кабинеты зависят от интерфейса `FspClient`. На стенде это чтение `participants.json`. Боевого коннектора реестра нет. Стенд поднимает локальный реалм Keycloak. Кандидат, уже вошедший по почте, связывает `external_id` из claim `fsp_external_id` или `sub`. Секрета боевой ФСП нет. На схеме локальный Keycloak — сплошной узел стенда, issuer заказчика — пунктир.</w:t>
      </w:r>
    </w:p>
    <w:p>
      <w:r>
        <w:t>flowchart LR</w:t>
      </w:r>
    </w:p>
    <w:p>
      <w:r>
        <w:t xml:space="preserve">  app[Сервисы кабинетов] --&gt; client[FspClient]</w:t>
      </w:r>
    </w:p>
    <w:p>
      <w:r>
        <w:t xml:space="preserve">  client --&gt; json[JsonFspClient на стенде]</w:t>
      </w:r>
    </w:p>
    <w:p>
      <w:r>
        <w:t xml:space="preserve">  client -.-&gt; http[Будущая реализация HTTP реестра]</w:t>
      </w:r>
    </w:p>
    <w:p>
      <w:r>
        <w:t xml:space="preserve">  app --&gt; kc[Локальный Keycloak на стенде]</w:t>
      </w:r>
    </w:p>
    <w:p>
      <w:r>
        <w:t xml:space="preserve">  kc -.-&gt; issuer[Issuer заказчика]</w:t>
      </w:r>
    </w:p>
    <w:p>
      <w:pPr>
        <w:pStyle w:val="Heading1"/>
      </w:pPr>
      <w:r>
        <w:t>API</w:t>
      </w:r>
    </w:p>
    <w:p>
      <w:r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>
      <w:r>
        <w:t>Группы маршрутов: `/api/auth`, профиль и достижения соискателя, тест, резюме и PDF профиля, категория и выдача работодателя, карточка компании, приглашения, вакансии и отклик (`/api/vacancies`, отклик, одно короткое задание), `GET /validation`.</w:t>
      </w:r>
    </w:p>
    <w:p>
      <w:pPr>
        <w:pStyle w:val="Heading1"/>
      </w:pPr>
      <w:r>
        <w:t>Библиотеки</w:t>
      </w:r>
    </w:p>
    <w:p>
      <w:r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1.2.11.</w:t>
      </w:r>
    </w:p>
    <w:p>
      <w:r>
        <w:t>Прямые зависимости образа:</w:t>
      </w:r>
    </w:p>
    <w:p>
      <w:r>
        <w:t>| Пакет | Версия |</w:t>
      </w:r>
    </w:p>
    <w:p>
      <w:r>
        <w:t>| fastapi | 0.142.2 |</w:t>
      </w:r>
    </w:p>
    <w:p>
      <w:r>
        <w:t>| uvicorn | 0.54.0 |</w:t>
      </w:r>
    </w:p>
    <w:p>
      <w:r>
        <w:t>| SQLAlchemy | 2.1.3 |</w:t>
      </w:r>
    </w:p>
    <w:p>
      <w:r>
        <w:t>| Jinja2 | 3.1.6 |</w:t>
      </w:r>
    </w:p>
    <w:p>
      <w:r>
        <w:t>| python-multipart | 0.0.32 |</w:t>
      </w:r>
    </w:p>
    <w:p>
      <w:r>
        <w:t>| argon2-cffi | 25.1.0 |</w:t>
      </w:r>
    </w:p>
    <w:p>
      <w:r>
        <w:t>| itsdangerous | 2.2.0 |</w:t>
      </w:r>
    </w:p>
    <w:p>
      <w:r>
        <w:t>| pypdf | 6.19.0 |</w:t>
      </w:r>
    </w:p>
    <w:p>
      <w:r>
        <w:t>| reportlab | 5.0.1 |</w:t>
      </w:r>
    </w:p>
    <w:p>
      <w:r>
        <w:t>| pytest | 8.4.2 |</w:t>
      </w:r>
    </w:p>
    <w:p>
      <w:r>
        <w:t>| httpx | 0.28.1 |</w:t>
      </w:r>
    </w:p>
    <w:p>
      <w:r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r>
        <w:t>docker compose -f deploy/fsp/compose.yaml up --build</w:t>
      </w:r>
    </w:p>
    <w:p>
      <w:r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Контейнер Keycloak слушает `127.0.0.1:8080` и не блокирует старт uvicorn. Keycloak, Pango и Node в образ приложения не входят. Кабинеты: `http://127.0.0.1:8000`.</w:t>
      </w:r>
    </w:p>
    <w:p>
      <w:r>
        <w:t>Проверка тестов:</w:t>
      </w:r>
    </w:p>
    <w:p>
      <w:r>
        <w:t>docker compose -f deploy/fsp/compose.yaml --profile test run --rm tests</w:t>
      </w:r>
    </w:p>
    <w:p>
      <w:r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t>На стенде вакансия есть и публикуется сразу со статусом `published`. Очереди `draft` → `in_review` нет: это по-прежнему концепция, не код. Когда появится модерация, новая строка не станет публичной сразу. Очередь концепции: `draft` → `in_review` → `published` или `rejected`. Публикует модератор стенда, не автор карточки. Отклик и одно короткое задание на вакансию есть и в испытание грейда не входят. Вебхука ATS, проверки ИНН и бейджа юрлица нет.</w:t>
      </w:r>
    </w:p>
    <w:p>
      <w:r>
        <w:t>Фиктивной в этой концепции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t>Публичного URL нет. Кабинеты после compose — `http://127.0.0.1:8000`. Эксперты без Docker смотрят скрины и видео презентации. Вакансия, отклик и одно короткое задание на стенде есть и в испытание грейда не входят. Вебхука ATS, проверки ИНН и бейджа юрлица нет. Адаптив под телефон обязательный путь не закрывает и этот стенд не блокирует.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JetBrains Mono">
    <w:charset w:val="00"/>
    <w:family w:val="modern"/>
    <w:pitch w:val="fixed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etBrains Mono" w:hAnsi="JetBrains Mono" w:cs="JetBrains Mono" w:eastAsia="JetBrains Mono"/>
      <w:color w:val="1B1C21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JetBrains Mono" w:hAnsi="JetBrains Mono" w:cs="JetBrains Mono" w:eastAsia="JetBrains Mono"/>
      <w:b/>
      <w:bCs/>
      <w:color w:val="402F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JetBrains Mono" w:hAnsi="JetBrains Mono" w:cs="JetBrains Mono" w:eastAsia="JetBrains Mono"/>
      <w:b/>
      <w:bCs/>
      <w:color w:val="402FFF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JetBrains Mono" w:hAnsi="JetBrains Mono" w:cs="JetBrains Mono" w:eastAsia="JetBrains Mono"/>
      <w:b/>
      <w:bCs/>
      <w:color w:val="402FFF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JetBrains Mono" w:hAnsi="JetBrains Mono" w:cs="JetBrains Mono" w:eastAsia="JetBrains Mono"/>
      <w:b/>
      <w:bCs/>
      <w:i/>
      <w:iCs/>
      <w:color w:val="402FFF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JetBrains Mono" w:hAnsi="JetBrains Mono" w:cs="JetBrains Mono" w:eastAsia="JetBrains Mono"/>
      <w:color w:val="402FFF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JetBrains Mono" w:hAnsi="JetBrains Mono" w:cs="JetBrains Mono" w:eastAsia="JetBrains Mono"/>
      <w:i/>
      <w:iCs/>
      <w:color w:val="402FFF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JetBrains Mono" w:hAnsi="JetBrains Mono" w:cs="JetBrains Mono" w:eastAsia="JetBrains Mono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JetBrains Mono" w:hAnsi="JetBrains Mono" w:cs="JetBrains Mono" w:eastAsia="JetBrains Mono"/>
      <w:color w:val="402FFF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JetBrains Mono" w:hAnsi="JetBrains Mono" w:cs="JetBrains Mono" w:eastAsia="JetBrains Mono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JetBrains Mono" w:hAnsi="JetBrains Mono" w:cs="JetBrains Mono" w:eastAsia="JetBrains Mono"/>
      <w:b/>
      <w:bCs/>
      <w:color w:val="402FF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JetBrains Mono" w:hAnsi="JetBrains Mono" w:cs="JetBrains Mono" w:eastAsia="JetBrains Mono"/>
      <w:b/>
      <w:bCs/>
      <w:color w:val="402FFF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JetBrains Mono" w:hAnsi="JetBrains Mono" w:cs="JetBrains Mono" w:eastAsia="JetBrains Mono"/>
      <w:b/>
      <w:bCs/>
      <w:color w:val="402FFF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02FFF"/>
      </w:pBdr>
      <w:spacing w:after="300" w:line="240" w:lineRule="auto"/>
      <w:contextualSpacing/>
    </w:pPr>
    <w:rPr>
      <w:rFonts w:ascii="JetBrains Mono" w:hAnsi="JetBrains Mono" w:cs="JetBrains Mono" w:eastAsia="JetBrains Mono"/>
      <w:color w:val="1B1C2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JetBrains Mono" w:hAnsi="JetBrains Mono" w:cs="JetBrains Mono" w:eastAsia="JetBrains Mono"/>
      <w:color w:val="1B1C21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JetBrains Mono" w:hAnsi="JetBrains Mono" w:cs="JetBrains Mono" w:eastAsia="JetBrains Mono"/>
      <w:i/>
      <w:iCs/>
      <w:color w:val="402FFF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JetBrains Mono" w:hAnsi="JetBrains Mono" w:cs="JetBrains Mono" w:eastAsia="JetBrains Mono"/>
      <w:i/>
      <w:iCs/>
      <w:color w:val="402FFF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JetBrains Mono" w:hAnsi="JetBrains Mono" w:cs="JetBrains Mono" w:eastAsia="JetBrains Mono"/>
      <w:b/>
      <w:bCs/>
      <w:i/>
      <w:iCs/>
      <w:color w:val="402FFF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JetBrains Mono" w:hAnsi="JetBrains Mono" w:cs="JetBrains Mono" w:eastAsia="JetBrains Mono"/>
      <w:color w:val="402FFF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JetBrains Mono" w:hAnsi="JetBrains Mono" w:cs="JetBrains Mono" w:eastAsia="JetBrains Mono"/>
      <w:i/>
      <w:iCs/>
      <w:color w:val="402FFF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JetBrains Mono" w:hAnsi="JetBrains Mono" w:cs="JetBrains Mono" w:eastAsia="JetBrains Mono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JetBrains Mono" w:hAnsi="JetBrains Mono" w:cs="JetBrains Mono" w:eastAsia="JetBrains Mono"/>
      <w:color w:val="402FFF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JetBrains Mono" w:hAnsi="JetBrains Mono" w:cs="JetBrains Mono" w:eastAsia="JetBrains Mono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02FFF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02FFF"/>
      </w:pBdr>
      <w:spacing w:before="200" w:after="280"/>
      <w:ind w:left="936" w:right="936"/>
    </w:pPr>
    <w:rPr>
      <w:b/>
      <w:bCs/>
      <w:i/>
      <w:iCs/>
      <w:color w:val="402FF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02FFF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02FFF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02FFF"/>
    </w:rPr>
    <w:tblPr>
      <w:tblStyleRowBandSize w:val="1"/>
      <w:tblStyleColBandSize w:val="1"/>
      <w:tblInd w:w="0" w:type="dxa"/>
      <w:tblBorders>
        <w:top w:val="single" w:sz="8" w:space="0" w:color="402FFF"/>
        <w:bottom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2FFF"/>
          <w:left w:val="nil"/>
          <w:bottom w:val="single" w:sz="8" w:space="0" w:color="402FFF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2FFF"/>
          <w:left w:val="nil"/>
          <w:bottom w:val="single" w:sz="8" w:space="0" w:color="402FFF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2FFF"/>
        <w:left w:val="single" w:sz="8" w:space="0" w:color="402FFF"/>
        <w:bottom w:val="single" w:sz="8" w:space="0" w:color="402FFF"/>
        <w:right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2FFF"/>
          <w:left w:val="single" w:sz="8" w:space="0" w:color="402FFF"/>
          <w:bottom w:val="single" w:sz="8" w:space="0" w:color="402FFF"/>
          <w:right w:val="single" w:sz="8" w:space="0" w:color="402F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</w:tcBorders>
      </w:tcPr>
    </w:tblStylePr>
    <w:tblStylePr w:type="band1Horz"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2FFF"/>
        <w:left w:val="single" w:sz="8" w:space="0" w:color="402FFF"/>
        <w:bottom w:val="single" w:sz="8" w:space="0" w:color="402FFF"/>
        <w:right w:val="single" w:sz="8" w:space="0" w:color="402FFF"/>
        <w:insideH w:val="single" w:sz="8" w:space="0" w:color="402FFF"/>
        <w:insideV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402FFF"/>
          <w:left w:val="single" w:sz="8" w:space="0" w:color="402FFF"/>
          <w:bottom w:val="single" w:sz="18" w:space="0" w:color="402FFF"/>
          <w:right w:val="single" w:sz="8" w:space="0" w:color="402FFF"/>
          <w:insideH w:val="nil"/>
          <w:insideV w:val="single" w:sz="8" w:space="0" w:color="402FFF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402FFF"/>
          <w:left w:val="single" w:sz="8" w:space="0" w:color="402FFF"/>
          <w:bottom w:val="single" w:sz="8" w:space="0" w:color="402FFF"/>
          <w:right w:val="single" w:sz="8" w:space="0" w:color="402FFF"/>
          <w:insideH w:val="nil"/>
          <w:insideV w:val="single" w:sz="8" w:space="0" w:color="402FFF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</w:tcBorders>
      </w:tcPr>
    </w:tblStylePr>
    <w:tblStylePr w:type="band1Vert"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  <w:insideV w:val="single" w:sz="8" w:space="0" w:color="402FFF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02FFF"/>
          <w:left w:val="single" w:sz="8" w:space="0" w:color="402FFF"/>
          <w:bottom w:val="single" w:sz="8" w:space="0" w:color="402FFF"/>
          <w:right w:val="single" w:sz="8" w:space="0" w:color="402FFF"/>
          <w:insideV w:val="single" w:sz="8" w:space="0" w:color="402FFF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JetBrains Mono" w:hAnsi="JetBrains Mono" w:cs="JetBrains Mono" w:eastAsia="JetBrains Mono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JetBrains Mono" w:hAnsi="JetBrains Mono" w:cs="JetBrains Mono" w:eastAsia="JetBrains Mono"/>
        <w:b/>
        <w:bCs/>
      </w:rPr>
    </w:tblStylePr>
    <w:tblStylePr w:type="lastCol">
      <w:rPr>
        <w:rFonts w:ascii="JetBrains Mono" w:hAnsi="JetBrains Mono" w:cs="JetBrains Mono" w:eastAsia="JetBrains Mono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2FF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02FF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/>
        <w:bottom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402FFF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02FFF"/>
          <w:bottom w:val="single" w:sz="8" w:space="0" w:color="402F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02FFF"/>
          <w:bottom w:val="single" w:sz="8" w:space="0" w:color="402FFF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JetBrains Mono" w:hAnsi="JetBrains Mono" w:cs="JetBrains Mono" w:eastAsia="JetBrains Mono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/>
        <w:left w:val="single" w:sz="8" w:space="0" w:color="402FFF"/>
        <w:bottom w:val="single" w:sz="8" w:space="0" w:color="402FFF"/>
        <w:right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02FFF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02FFF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02FFF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02FFF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/>
        <w:left w:val="single" w:sz="8" w:space="0" w:color="402FFF"/>
        <w:bottom w:val="single" w:sz="8" w:space="0" w:color="402FFF"/>
        <w:right w:val="single" w:sz="8" w:space="0" w:color="402FFF"/>
        <w:insideH w:val="single" w:sz="8" w:space="0" w:color="402FFF"/>
        <w:insideV w:val="single" w:sz="8" w:space="0" w:color="402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02FFF"/>
          <w:insideV w:val="single" w:sz="6" w:space="0" w:color="402FFF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JetBrains Mono" w:hAnsi="JetBrains Mono" w:cs="JetBrains Mono" w:eastAsia="JetBrains Mono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02FFF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02FFF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02FFF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02FF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02FF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2FF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02FFF"/>
        <w:bottom w:val="single" w:sz="4" w:space="0" w:color="402FFF"/>
        <w:right w:val="single" w:sz="4" w:space="0" w:color="402FFF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02FF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02FFF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02FFF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02FFF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02FFF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02FFF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02FFF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02FFF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2FFF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402FFF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02FFF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02FFF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02FFF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B1C21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B1C21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02FFF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02FFF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02FFF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402FFF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402FFF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02FFF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02FFF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02FFF" w:themeColor="accent1"/>
      </w:pBdr>
      <w:spacing w:before="200" w:after="280"/>
      <w:ind w:left="936" w:right="936"/>
    </w:pPr>
    <w:rPr>
      <w:b/>
      <w:bCs/>
      <w:i/>
      <w:iCs/>
      <w:color w:val="402FFF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02FFF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02FFF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02FFF" w:themeColor="accent1" w:themeShade="BF"/>
    </w:rPr>
    <w:tblPr>
      <w:tblStyleRowBandSize w:val="1"/>
      <w:tblStyleColBandSize w:val="1"/>
      <w:tblInd w:w="0" w:type="dxa"/>
      <w:tblBorders>
        <w:top w:val="single" w:sz="8" w:space="0" w:color="402FFF" w:themeColor="accent1"/>
        <w:bottom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2FFF" w:themeColor="accent1"/>
          <w:left w:val="nil"/>
          <w:bottom w:val="single" w:sz="8" w:space="0" w:color="402FFF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02FFF" w:themeColor="accent1"/>
          <w:left w:val="nil"/>
          <w:bottom w:val="single" w:sz="8" w:space="0" w:color="402FFF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2FFF" w:themeColor="accent1"/>
        <w:left w:val="single" w:sz="8" w:space="0" w:color="402FFF" w:themeColor="accent1"/>
        <w:bottom w:val="single" w:sz="8" w:space="0" w:color="402FFF" w:themeColor="accent1"/>
        <w:right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</w:tcBorders>
      </w:tcPr>
    </w:tblStylePr>
    <w:tblStylePr w:type="band1Horz"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2FFF" w:themeColor="accent1"/>
        <w:left w:val="single" w:sz="8" w:space="0" w:color="402FFF" w:themeColor="accent1"/>
        <w:bottom w:val="single" w:sz="8" w:space="0" w:color="402FFF" w:themeColor="accent1"/>
        <w:right w:val="single" w:sz="8" w:space="0" w:color="402FFF" w:themeColor="accent1"/>
        <w:insideH w:val="single" w:sz="8" w:space="0" w:color="402FFF" w:themeColor="accent1"/>
        <w:insideV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18" w:space="0" w:color="402FFF" w:themeColor="accent1"/>
          <w:right w:val="single" w:sz="8" w:space="0" w:color="402FFF" w:themeColor="accent1"/>
          <w:insideH w:val="nil"/>
          <w:insideV w:val="single" w:sz="8" w:space="0" w:color="402FFF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  <w:insideH w:val="nil"/>
          <w:insideV w:val="single" w:sz="8" w:space="0" w:color="402FFF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</w:tcBorders>
      </w:tcPr>
    </w:tblStylePr>
    <w:tblStylePr w:type="band1Vert"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  <w:insideV w:val="single" w:sz="8" w:space="0" w:color="402FFF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02FFF" w:themeColor="accent1"/>
          <w:left w:val="single" w:sz="8" w:space="0" w:color="402FFF" w:themeColor="accent1"/>
          <w:bottom w:val="single" w:sz="8" w:space="0" w:color="402FFF" w:themeColor="accent1"/>
          <w:right w:val="single" w:sz="8" w:space="0" w:color="402FFF" w:themeColor="accent1"/>
          <w:insideV w:val="single" w:sz="8" w:space="0" w:color="402FFF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2FFF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02FFF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02FFF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 w:themeColor="accent1"/>
        <w:bottom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02FFF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02FFF" w:themeColor="accent1"/>
          <w:bottom w:val="single" w:sz="8" w:space="0" w:color="402FFF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02FFF" w:themeColor="accent1"/>
          <w:bottom w:val="single" w:sz="8" w:space="0" w:color="402FFF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 w:themeColor="accent1"/>
        <w:left w:val="single" w:sz="8" w:space="0" w:color="402FFF" w:themeColor="accent1"/>
        <w:bottom w:val="single" w:sz="8" w:space="0" w:color="402FFF" w:themeColor="accent1"/>
        <w:right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02FFF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02FFF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02FFF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02FFF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02FFF" w:themeColor="accent1"/>
        <w:left w:val="single" w:sz="8" w:space="0" w:color="402FFF" w:themeColor="accent1"/>
        <w:bottom w:val="single" w:sz="8" w:space="0" w:color="402FFF" w:themeColor="accent1"/>
        <w:right w:val="single" w:sz="8" w:space="0" w:color="402FFF" w:themeColor="accent1"/>
        <w:insideH w:val="single" w:sz="8" w:space="0" w:color="402FFF" w:themeColor="accent1"/>
        <w:insideV w:val="single" w:sz="8" w:space="0" w:color="402FFF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02FFF" w:themeColor="accent1"/>
          <w:insideV w:val="single" w:sz="6" w:space="0" w:color="402FFF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02FFF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02FFF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02FFF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02FFF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02FFF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2FFF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2FFF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02FFF" w:themeColor="accent1"/>
        <w:bottom w:val="single" w:sz="4" w:space="0" w:color="402FFF" w:themeColor="accent1"/>
        <w:right w:val="single" w:sz="4" w:space="0" w:color="402FFF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02FFF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02FFF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FSP">
  <a:themeElements>
    <a:clrScheme name="FSP">
      <a:dk1>
        <a:sysClr val="windowText" lastClr="000000"/>
      </a:dk1>
      <a:lt1>
        <a:sysClr val="window" lastClr="FFFFFF"/>
      </a:lt1>
      <a:dk2>
        <a:srgbClr val="1B1C21"/>
      </a:dk2>
      <a:lt2>
        <a:srgbClr val="EDEDED"/>
      </a:lt2>
      <a:accent1>
        <a:srgbClr val="402FFF"/>
      </a:accent1>
      <a:accent2>
        <a:srgbClr val="EC1D35"/>
      </a:accent2>
      <a:accent3>
        <a:srgbClr val="C8C9CA"/>
      </a:accent3>
      <a:accent4>
        <a:srgbClr val="8064A2"/>
      </a:accent4>
      <a:accent5>
        <a:srgbClr val="4BACC6"/>
      </a:accent5>
      <a:accent6>
        <a:srgbClr val="F79646"/>
      </a:accent6>
      <a:hlink>
        <a:srgbClr val="402FFF"/>
      </a:hlink>
      <a:folHlink>
        <a:srgbClr val="800080"/>
      </a:folHlink>
    </a:clrScheme>
    <a:fontScheme name="Office">
      <a:majorFont>
        <a:latin typeface="JetBrains Mono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exception.expert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2026-10-09T12:57:32Z</dcterms:modified>
  <cp:category/>
</cp:coreProperties>
</file>