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t>Авторы: Чистяков Евгений, Иван Курлыков, Леонид Пластуненко, Николай Кузнецов, Игорь Софронов.</w:t>
      </w:r>
    </w:p>
    <w:p>
      <w:r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t>API: FastAPI, префикс JSON `/api`. Сессия — cookie `product_session`.</w:t>
      </w:r>
    </w:p>
    <w:p>
      <w:pPr>
        <w:pStyle w:val="ListBullet"/>
      </w:pPr>
      <w:r>
        <w:t>Хранилище: один файл SQLite в режиме WAL. На стенде это `/data/app.sqlite` в томе `fsp-sqlite`. Писатель один.</w:t>
      </w:r>
    </w:p>
    <w:p>
      <w:r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 и React в compose нет. Локальный Keycloak есть и в образ приложения не входит.</w:t>
      </w:r>
    </w:p>
    <w:p>
      <w:pPr>
        <w:pStyle w:val="Heading2"/>
      </w:pPr>
      <w:r>
        <w:t>Модели</w:t>
      </w:r>
    </w:p>
    <w:p>
      <w:r>
        <w:t>В обязательном пути жюри моделей нет: категоризация, тест, подбор, разбор PDF и приглашение считаются правилами в `product/matching` и сервисами кабинетов. Разбор резюме — `pypdf` 6.19.0 и локальный словарь `stack_synonyms.json`, без внешнего вызова. Локального инференса нет, GPU на стенде нет и не требуется. Персональные данные (почта, ФИО, анкета) живут в SQLite тома стенда и за контур процесса не уходят. Если позже появится генерация заданий — только российская модель, вне обязательного пути жюри, с отдельным описанием в записке. Перечень допустимых моделей организаторы обещали отдельно, в записку его не подставляем.</w:t>
      </w:r>
    </w:p>
    <w:p>
      <w:pPr>
        <w:pStyle w:val="Heading1"/>
      </w:pPr>
      <w:r>
        <w:t>Механика теста</w:t>
      </w:r>
    </w:p>
    <w:p>
      <w:r>
        <w:t>ТЗ §2 требует подход, устойчивый к распространению заданий и дающий сопоставимую сложность. Механика теста — `product/matching/assessment.py`. Это тот же код сборки варианта и оценки, который проверен симуляцией `product/validation_sim`.</w:t>
      </w:r>
    </w:p>
    <w:p>
      <w:pPr>
        <w:pStyle w:val="ListBullet"/>
      </w:pPr>
      <w:r>
        <w:rPr>
          <w:b/>
        </w:rPr>
        <w:t>Каталог-источник.</w:t>
      </w:r>
      <w:r>
        <w:t xml:space="preserve"> 216 вопросов (`product/matching/stems.py`), по 9 на пару «специализация × грейд», темы `refusal_contract`, `close_cause`, `offline_check`. Кандидату каталог напрямую не показывается: из него собран банк.</w:t>
      </w:r>
    </w:p>
    <w:p>
      <w:pPr>
        <w:pStyle w:val="ListBullet"/>
      </w:pPr>
      <w:r>
        <w:rPr>
          <w:b/>
        </w:rPr>
        <w:t>Банк семейств.</w:t>
      </w:r>
      <w:r>
        <w:t xml:space="preserve"> Тема одной сложности — семейство; в банке `product/validation_sim/data/bank.json` 288 семейств (6 специализаций × 4 грейда × 12). Тексты — 216 вопросов каталога `product/matching/stems.py`. Длины вариантов ответа выровнены: верный ответ самый длинный в 30% вопросов, поэтому приём «выбирай самый длинный» не работает.</w:t>
      </w:r>
    </w:p>
    <w:p>
      <w:pPr>
        <w:pStyle w:val="ListBullet"/>
      </w:pPr>
      <w:r>
        <w:rPr>
          <w:b/>
        </w:rPr>
        <w:t>Свой вариант по единому плану.</w:t>
      </w:r>
      <w:r>
        <w:t xml:space="preserve"> Тест на грейд g — 12 вопросов: 3 уровня ниже, 6 уровня g, 3 уровня выше (у junior и lead недостающие позиции добираются своим уровнем). Темы и сложность у всех одинаковые, конкретные вопросы и порядок — свои. Пересдача берёт другие темы, частота показа выравнивается по платформе.</w:t>
      </w:r>
    </w:p>
    <w:p>
      <w:pPr>
        <w:pStyle w:val="ListBullet"/>
      </w:pPr>
      <w:r>
        <w:rPr>
          <w:b/>
        </w:rPr>
        <w:t>Ключ только на сервере.</w:t>
      </w:r>
      <w:r>
        <w:t xml:space="preserve"> Варианты ответа перемешаны и получают одноразовые id; ключ лежит в записи попытки (`test_attempts.form_json`) и в API не уходит. Буквы правильного ответа нет.</w:t>
      </w:r>
    </w:p>
    <w:p>
      <w:pPr>
        <w:pStyle w:val="ListBullet"/>
      </w:pPr>
      <w:r>
        <w:rPr>
          <w:b/>
        </w:rPr>
        <w:t>Формат «оцените каждый вариант».</w:t>
      </w:r>
      <w:r>
        <w:t xml:space="preserve"> Кандидат отмечает каждый из трёх вариантов «верно» или «неверно»; вопрос засчитан, только если все три оценки правильные. Угадать — 1 из 8, а не 1 из 3. Вопросы идут по одному, вернуться к отвеченному нельзя, ответ сохраняется сразу.</w:t>
      </w:r>
    </w:p>
    <w:p>
      <w:pPr>
        <w:pStyle w:val="ListBullet"/>
      </w:pPr>
      <w:r>
        <w:rPr>
          <w:b/>
        </w:rPr>
        <w:t>Оценка уровня.</w:t>
      </w:r>
      <w:r>
        <w:t xml:space="preserve"> Уровень θ считается по модели IRT с учётом сложности каждого вопроса — разные варианты сравнимы. Если результат у границы грейдов (вероятность 15–85%), тест добавляет блок из вопросов сложности этой границы (до трёх блоков).</w:t>
      </w:r>
    </w:p>
    <w:p>
      <w:pPr>
        <w:pStyle w:val="ListBullet"/>
      </w:pPr>
      <w:r>
        <w:rPr>
          <w:b/>
        </w:rPr>
        <w:t>Решение.</w:t>
      </w:r>
      <w:r>
        <w:t xml:space="preserve"> Грейд подтверждается при уверенности не ниже 60% (осторожный порог: завысить хуже, чем занизить). Итог — `confirm`, `suggest_higher` или `suggest_lower`; принудительного понижения нет. Ответы двух предыдущих попыток этой специализации учитываются (накопление), поэтому цепочка «тест → ниже/выше» не начинается с нуля.</w:t>
      </w:r>
    </w:p>
    <w:p>
      <w:pPr>
        <w:pStyle w:val="ListBullet"/>
      </w:pPr>
      <w:r>
        <w:rPr>
          <w:b/>
        </w:rPr>
        <w:t>Результат с уверенностью.</w:t>
      </w:r>
      <w:r>
        <w:t xml:space="preserve"> Кроме итога тест сообщает уверенность, статус «уверенно» или «у границы» и положение в грейде (нижняя, средняя, верхняя треть). Порог «уверенно» (0.9) и выведенные слабые темы (32 из 216) получены на отдельной пилотной группе — `product/validation_sim/data/pilot_live.json`.</w:t>
      </w:r>
    </w:p>
    <w:p>
      <w:r>
        <w:t>Смена грейда.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90 дней. Интервал держится на повторной смене после того, как тест уже записал новый грейд. Первая соседняя попытка вверх после `suggest_higher` и вниз после `suggest_lower` интервал не ждёт, пока соседний `confirm` не сдвинул записанный грейд (Q&amp;A: «провал и уход ниже — без сжигания попытки»). Повтор теста записанного грейда интервал не ждёт. Записанный грейд меняет лишь соседняя попытка с итогом `confirm`.</w:t>
      </w:r>
    </w:p>
    <w:p>
      <w:r>
        <w:t>Несколько описаний вакансий (`product/matching/vacancies/samples.json`) показывают, как вакансия превращается в тест: она задаёт специализацию и грейд, а план 3/6/3 — какие уровни войдут в вариант. Текст вакансии вопросы не выбирает.</w:t>
      </w:r>
    </w:p>
    <w:p>
      <w:pPr>
        <w:pStyle w:val="Heading1"/>
      </w:pPr>
      <w:r>
        <w:t>Подбор и категоризация</w:t>
      </w:r>
    </w:p>
    <w:p>
      <w:r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t>Ранг внутри категории — один проход `evaluate_need` и склейка в выдаче: пять чисел потребности (стек, роль, формат, признак ФСП, токены текста), затем бонус актуальности `0` или `1`, затем `rank_key` `confirmed-score-count-prize-id`. Отдельных баллов за фильтры нет. Пустая потребность оставляет нули в кортеже и прежний порядок. Подходящих не скрываем. В выдаче работодателя опубликованный профиль совпавшей категории; без теста карточка «не подтверждён», с проваленным тестом (`suggest_lower`) — «не подтверждён тестом», обе ниже подтверждённых той же категории через префикс `rank_key`; у подтверждённых карточка показывает «подтверждён уверенно» или «подтверждён, у границы», уверенность и положение в грейде; без `publication` карточки нет. Фильтр добавляет стек, роль, формат и признак достижений. Поиск по банку кандидатов (ТЗ §2.1) работает и без категории: `GET /api/employer/candidates` без `category_id` выдаёт все опубликованные профили, специализация и грейд сужают поиск по отдельности, порядок — тот же `evaluate_need`. На карточке фраза из того же прохода, почему этот человек попал в потребность, и следом сравнение с соседней карточкой: подтверждён, балл, число достижений, приз. Сырой rank_key на карточке не показан. Сортировка, ключ, доля в топе и балл грейда от этого не меняются.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pPr/>
      <w:r>
        <w:t>Слова текста потребности короче трёх букв отбрасываются, остальные сравниваются стемами пакета `snowballstemmer` 3.1.1. Кириллица идёт русским алгоритмом, остальное — английским. Совпадение — равенство стема, не подстрока. Пустая потребность по-прежнему оставляет нули и никого не выкидывает. Словарь `stack_synonyms.json` стеммер не заменяет.</w:t>
      </w:r>
    </w:p>
    <w:p>
      <w:pPr/>
      <w:r>
        <w:t>Опубликованный профиль по умолчанию показывает ФИО, стаж и достижения ФСП. В кабинете три отдельные галки: показывать работодателю ФИО, стаж и достижения. Снятая галка отдаёт на карточке пустую строку или пустой список. Выключенная публикация по-прежнему убирает карточку целиком. Согласие на обработку не дробится. От этих галок `rank_key` не меняется.</w:t>
      </w:r>
    </w:p>
    <w:p>
      <w:pPr/>
      <w:r>
        <w:t>По непустому тексту потребности над списком есть подсказка: основная категория и одна запасная строка соседнего грейда, у каждой — сколько профилей опубликовано. Пустой текст подсказку не рисует. Категорию по-прежнему выбирает работодатель, подсказка выдачу не подменяет.</w:t>
      </w:r>
    </w:p>
    <w:p>
      <w:pPr/>
      <w:r>
        <w:t>Свою опубликованную вакансию работодатель правит на той же строке: название, текст, категория, вилка и задание. Чужую строку сервис не отличает от отсутствующей и отвечает 404. Статус остаётся `published`, отклики остаются на том же номере.</w:t>
      </w:r>
    </w:p>
    <w:p>
      <w:pPr/>
      <w:r>
        <w:t>Не чаще одного раза в 30 дней кандидат видит одно короткое задание уже опубликованной вакансии. Сдача пишет только время и не двигает балл теста и грейд. На карточке строка «последнее задание N дней назад» или «ещё не сдавал». Бонус актуальности — целое `0` или `1` сразу после пяти чисел потребности и до `rank_key`. Внутри строки ранга его нет.</w:t>
      </w:r>
    </w:p>
    <w:p>
      <w:r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 до вычета НДФЛ.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t>Прогон читает золотой набор из git и в сеть не ходит. Валидация жюри — CPU-персоны в том же `GET /validation`, без инференса и без GPU.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t>Ниже пять строк прогона `python -m product.matching.golden_run` от 2026-10-10. Повтор запуска их не меняет: варианты теста в прогоне собираются с фиксированным seed. Набор в git: 38 синтетических профилей, 12 потребностей (`top_k=3`), 24 пары «специализация × грейд» для теста, 4 PDF резюме. Это числа запуска, не цель. Строка `grade_separation` — сколько вопросов каталога разделяют грейды и сколько всего; порога по ней нет. После неё — три строки CPU-персон на том же тесте, что в кабинете, без GPU: `sim_competent 72 72`, `sim_key_leak 3 72`, `sim_adjacent 0 72`; порога нет.</w:t>
      </w:r>
    </w:p>
    <w:p>
      <w:r>
        <w:rPr>
          <w:rFonts w:ascii="Courier New" w:hAnsi="Courier New"/>
          <w:sz w:val="20"/>
        </w:rPr>
        <w:t>category_match 38 38</w:t>
      </w:r>
    </w:p>
    <w:p>
      <w:r>
        <w:rPr>
          <w:rFonts w:ascii="Courier New" w:hAnsi="Courier New"/>
          <w:sz w:val="20"/>
        </w:rPr>
        <w:t>outcome_match 72 72</w:t>
      </w:r>
    </w:p>
    <w:p>
      <w:r>
        <w:rPr>
          <w:rFonts w:ascii="Courier New" w:hAnsi="Courier New"/>
          <w:sz w:val="20"/>
        </w:rPr>
        <w:t>form_stable 24 24</w:t>
      </w:r>
    </w:p>
    <w:p>
      <w:r>
        <w:rPr>
          <w:rFonts w:ascii="Courier New" w:hAnsi="Courier New"/>
          <w:sz w:val="20"/>
        </w:rPr>
        <w:t>relevant_in_top 23 24</w:t>
      </w:r>
    </w:p>
    <w:p>
      <w:r>
        <w:rPr>
          <w:rFonts w:ascii="Courier New" w:hAnsi="Courier New"/>
          <w:sz w:val="20"/>
        </w:rPr>
        <w:t>resume_ok 4 4</w:t>
      </w:r>
    </w:p>
    <w:p>
      <w:r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t>`category_match` — сколько профилей получили ожидаемую категорию;</w:t>
      </w:r>
    </w:p>
    <w:p>
      <w:pPr>
        <w:pStyle w:val="ListBullet"/>
      </w:pPr>
      <w:r>
        <w:t>`outcome_match` — на вариантах теста ответы «сданы уровни до выше / до своего / только ниже» дали ожидаемый итог (`suggest_higher` / `confirm` / `suggest_lower`);</w:t>
      </w:r>
    </w:p>
    <w:p>
      <w:pPr>
        <w:pStyle w:val="ListBullet"/>
      </w:pPr>
      <w:r>
        <w:t>`form_stable` — тот же вариант и те же ответы дали тот же итог и ту же оценку;</w:t>
      </w:r>
    </w:p>
    <w:p>
      <w:pPr>
        <w:pStyle w:val="ListBullet"/>
      </w:pPr>
      <w:r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t>`resume_ok` — сколько PDF разобрались без падения процесса;</w:t>
      </w:r>
    </w:p>
    <w:p>
      <w:pPr>
        <w:pStyle w:val="ListBullet"/>
      </w:pPr>
      <w:r>
        <w:t>`grade_separation` — сколько вопросов разделяют грейды и сколько вопросов в каталоге. Это не порог и в блок выше не входит;</w:t>
      </w:r>
    </w:p>
    <w:p>
      <w:pPr>
        <w:pStyle w:val="ListBullet"/>
      </w:pPr>
      <w:r>
        <w:t>`sim_competent`, `sim_key_leak`, `sim_adjacent` — CPU-персоны того же GET на 72 вариантах теста (24 пары × 3): знает всё до своего уровня; выучил чужой ключ по позициям вариантов; истинный уровень на ступень ниже заявленного. «Сдал» — тест подтвердил грейд или предложил выше. Порога нет.</w:t>
      </w:r>
    </w:p>
    <w:p>
      <w:pPr>
        <w:pStyle w:val="Heading2"/>
      </w:pPr>
      <w:r>
        <w:t>Симуляция на 500 синтетических кандидатах</w:t>
      </w:r>
    </w:p>
    <w:p>
      <w:r>
        <w:t>Пакет `product/validation_sim` проверяет механику на 500 синтетических кандидатах с известным истинным грейдом (`data/candidates.csv`, `data/candidates.json`). Тест платформы сравнивается с эталоном «единый набор заданий» — от такого подхода предостерегает ТЗ §2 (3 вопроса, общий для всех ключ b-c-a). Вторая колонка платформы — тот же тест, когда в банк добавят вопросы форматов multi / order / numeric. Ответы моделируются IRT с ошибкой калибровки сложности; порог «уверенно» подобран на отдельной пилотной группе. Для платформы — среднее по 5 прогонам, в скобках мин–макс.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Единый набор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Платформа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Платформа + форматы</w:t>
            </w:r>
          </w:p>
        </w:tc>
      </w:tr>
      <w:tr>
        <w:tc>
          <w:tcPr>
            <w:tcW w:type="dxa" w:w="2160"/>
          </w:tcPr>
          <w:p>
            <w:r>
              <w:t>Грейд совпал с истинным</w:t>
            </w:r>
          </w:p>
        </w:tc>
        <w:tc>
          <w:tcPr>
            <w:tcW w:type="dxa" w:w="2160"/>
          </w:tcPr>
          <w:p>
            <w:r>
              <w:t>58%</w:t>
            </w:r>
          </w:p>
        </w:tc>
        <w:tc>
          <w:tcPr>
            <w:tcW w:type="dxa" w:w="2160"/>
          </w:tcPr>
          <w:p>
            <w:r>
              <w:t>82% (79–84)</w:t>
            </w:r>
          </w:p>
        </w:tc>
        <w:tc>
          <w:tcPr>
            <w:tcW w:type="dxa" w:w="2160"/>
          </w:tcPr>
          <w:p>
            <w:r>
              <w:t>83% (82–85)</w:t>
            </w:r>
          </w:p>
        </w:tc>
      </w:tr>
      <w:tr>
        <w:tc>
          <w:tcPr>
            <w:tcW w:type="dxa" w:w="2160"/>
          </w:tcPr>
          <w:p>
            <w:r>
              <w:t>Точность среди «уверенно»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92.7% (91–96)</w:t>
            </w:r>
          </w:p>
        </w:tc>
        <w:tc>
          <w:tcPr>
            <w:tcW w:type="dxa" w:w="2160"/>
          </w:tcPr>
          <w:p>
            <w:r>
              <w:t>92.3% (90–95)</w:t>
            </w:r>
          </w:p>
        </w:tc>
      </w:tr>
      <w:tr>
        <w:tc>
          <w:tcPr>
            <w:tcW w:type="dxa" w:w="2160"/>
          </w:tcPr>
          <w:p>
            <w:r>
              <w:t>Доля «уверенно»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24%</w:t>
            </w:r>
          </w:p>
        </w:tc>
        <w:tc>
          <w:tcPr>
            <w:tcW w:type="dxa" w:w="2160"/>
          </w:tcPr>
          <w:p>
            <w:r>
              <w:t>45%</w:t>
            </w:r>
          </w:p>
        </w:tc>
      </w:tr>
      <w:tr>
        <w:tc>
          <w:tcPr>
            <w:tcW w:type="dxa" w:w="2160"/>
          </w:tcPr>
          <w:p>
            <w:r>
              <w:t>Ошибка больше чем на ступень</w:t>
            </w:r>
          </w:p>
        </w:tc>
        <w:tc>
          <w:tcPr>
            <w:tcW w:type="dxa" w:w="2160"/>
          </w:tcPr>
          <w:p>
            <w:r>
              <w:t>2.4%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Грейд завышен</w:t>
            </w:r>
          </w:p>
        </w:tc>
        <w:tc>
          <w:tcPr>
            <w:tcW w:type="dxa" w:w="2160"/>
          </w:tcPr>
          <w:p>
            <w:r>
              <w:t>34%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Тот же грейд при пересдаче</w:t>
            </w:r>
          </w:p>
        </w:tc>
        <w:tc>
          <w:tcPr>
            <w:tcW w:type="dxa" w:w="2160"/>
          </w:tcPr>
          <w:p>
            <w:r>
              <w:t>51%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76%</w:t>
            </w:r>
          </w:p>
        </w:tc>
      </w:tr>
      <w:tr>
        <w:tc>
          <w:tcPr>
            <w:tcW w:type="dxa" w:w="2160"/>
          </w:tcPr>
          <w:p>
            <w:r>
              <w:t>Сдали ступень выше своей без утечки</w:t>
            </w:r>
          </w:p>
        </w:tc>
        <w:tc>
          <w:tcPr>
            <w:tcW w:type="dxa" w:w="2160"/>
          </w:tcPr>
          <w:p>
            <w:r>
              <w:t>58%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9%</w:t>
            </w:r>
          </w:p>
        </w:tc>
      </w:tr>
      <w:tr>
        <w:tc>
          <w:tcPr>
            <w:tcW w:type="dxa" w:w="2160"/>
          </w:tcPr>
          <w:p>
            <w:r>
              <w:t>Сдали, зная ключ b-c-a / выбирая самый длинный ответ</w:t>
            </w:r>
          </w:p>
        </w:tc>
        <w:tc>
          <w:tcPr>
            <w:tcW w:type="dxa" w:w="2160"/>
          </w:tcPr>
          <w:p>
            <w:r>
              <w:t>100% / 26%</w:t>
            </w:r>
          </w:p>
        </w:tc>
        <w:tc>
          <w:tcPr>
            <w:tcW w:type="dxa" w:w="2160"/>
          </w:tcPr>
          <w:p>
            <w:r>
              <w:t>5% / 1%</w:t>
            </w:r>
          </w:p>
        </w:tc>
        <w:tc>
          <w:tcPr>
            <w:tcW w:type="dxa" w:w="2160"/>
          </w:tcPr>
          <w:p>
            <w:r>
              <w:t>0% / 0%</w:t>
            </w:r>
          </w:p>
        </w:tc>
      </w:tr>
    </w:tbl>
    <w:p>
      <w:r>
        <w:t>Точность среди «уверенно» близка к цели 93%, доля таких решений в кабинете — 24%: с 216 вопросами формата «оцените каждый вариант» тест у границы грейдов чаще говорит «у границы». С вопросами, которые трудно угадать, доля вырастает примерно до 45%. Пограничный кандидат не скрывается — работодатель видит его со статусом.</w:t>
      </w:r>
    </w:p>
    <w:p>
      <w:r>
        <w:t>Запуск: `python -m product.validation_sim.run`. Таблицы — `product/validation_sim/out/report.md`, графики — `out/validation_charts.png`, описание и допущения — `product/validation_sim/README.md`.</w:t>
      </w:r>
    </w:p>
    <w:p>
      <w:pPr>
        <w:pStyle w:val="Heading2"/>
      </w:pPr>
      <w:r>
        <w:t>SYNTH-EVAL (1000)</w:t>
      </w:r>
    </w:p>
    <w:p>
      <w:r>
        <w:t>Отдельный CPU-прогон 1000 живых ФИО с известным истинным грейдом. Он не подменяет `GET /validation`: золотой блок 38 выше остаётся путём жюри. PDF на тысячу нет, строка `resume_ok` честно `0 0`. В том же образе:</w:t>
      </w:r>
    </w:p>
    <w:p>
      <w:r>
        <w:rPr>
          <w:rFonts w:ascii="Courier New" w:hAnsi="Courier New"/>
          <w:sz w:val="20"/>
        </w:rPr>
        <w:t>python -m product.matching.synth_eval_run</w:t>
      </w:r>
    </w:p>
    <w:p>
      <w:r>
        <w:t>Набор в git: 1000 профилей, 4 шарда, 12 потребностей, 24 пары шаблона. Числа этого запуска, не цель. Порога нет. `grade_separation` считается по каталогу стемов, `sim_*` — по тесту кабинета, 24 пары × 3, не по ответам тысячи людей. График — [`synth-eval.svg`](synth-eval.svg) и [`synth-eval.png`](synth-eval.png).</w:t>
      </w:r>
    </w:p>
    <w:p>
      <w:r>
        <w:rPr>
          <w:rFonts w:ascii="Courier New" w:hAnsi="Courier New"/>
          <w:sz w:val="20"/>
        </w:rPr>
        <w:t>category_match 1000 1000</w:t>
      </w:r>
    </w:p>
    <w:p>
      <w:r>
        <w:rPr>
          <w:rFonts w:ascii="Courier New" w:hAnsi="Courier New"/>
          <w:sz w:val="20"/>
        </w:rPr>
        <w:t>outcome_match 1000 1000</w:t>
      </w:r>
    </w:p>
    <w:p>
      <w:r>
        <w:rPr>
          <w:rFonts w:ascii="Courier New" w:hAnsi="Courier New"/>
          <w:sz w:val="20"/>
        </w:rPr>
        <w:t>template_stable 24 24</w:t>
      </w:r>
    </w:p>
    <w:p>
      <w:r>
        <w:rPr>
          <w:rFonts w:ascii="Courier New" w:hAnsi="Courier New"/>
          <w:sz w:val="20"/>
        </w:rPr>
        <w:t>relevant_in_top 36 36</w:t>
      </w:r>
    </w:p>
    <w:p>
      <w:r>
        <w:rPr>
          <w:rFonts w:ascii="Courier New" w:hAnsi="Courier New"/>
          <w:sz w:val="20"/>
        </w:rPr>
        <w:t>resume_ok 0 0</w:t>
      </w:r>
    </w:p>
    <w:p>
      <w:r>
        <w:rPr>
          <w:rFonts w:ascii="Courier New" w:hAnsi="Courier New"/>
          <w:sz w:val="20"/>
        </w:rPr>
        <w:t>grade_separation 215 216</w:t>
      </w:r>
    </w:p>
    <w:p>
      <w:r>
        <w:rPr>
          <w:rFonts w:ascii="Courier New" w:hAnsi="Courier New"/>
          <w:sz w:val="20"/>
        </w:rPr>
        <w:t>sim_competent 72 72</w:t>
      </w:r>
    </w:p>
    <w:p>
      <w:r>
        <w:rPr>
          <w:rFonts w:ascii="Courier New" w:hAnsi="Courier New"/>
          <w:sz w:val="20"/>
        </w:rPr>
        <w:t>sim_key_leak 3 72</w:t>
      </w:r>
    </w:p>
    <w:p>
      <w:r>
        <w:rPr>
          <w:rFonts w:ascii="Courier New" w:hAnsi="Courier New"/>
          <w:sz w:val="20"/>
        </w:rPr>
        <w:t>sim_adjacent 0 72</w:t>
      </w:r>
    </w:p>
    <w:p>
      <w:pPr>
        <w:pStyle w:val="Heading1"/>
      </w:pPr>
      <w:r>
        <w:t>Будущая интеграция с реестром ФСП</w:t>
      </w:r>
    </w:p>
    <w:p>
      <w:r>
        <w:t>Кабинеты зависят от интерфейса `FspClient`. На стенде это чтение `participants.json`. Боевого коннектора реестра нет. Стенд поднимает локальный реалм Keycloak. Кандидат, уже вошедший по почте, связывает `external_id` из claim `fsp_external_id` или `sub`. Секрета боевой ФСП нет. На схеме локальный Keycloak — сплошной узел стенда, issuer заказчика — пунктир.</w:t>
      </w:r>
    </w:p>
    <w:p>
      <w:r>
        <w:rPr>
          <w:rFonts w:ascii="Courier New" w:hAnsi="Courier New"/>
          <w:sz w:val="20"/>
        </w:rPr>
        <w:t>flowchart LR</w:t>
      </w:r>
    </w:p>
    <w:p>
      <w:r>
        <w:rPr>
          <w:rFonts w:ascii="Courier New" w:hAnsi="Courier New"/>
          <w:sz w:val="20"/>
        </w:rPr>
        <w:t xml:space="preserve">  app[Сервисы кабинетов] --&gt; client[FspClient]</w:t>
      </w:r>
    </w:p>
    <w:p>
      <w:r>
        <w:rPr>
          <w:rFonts w:ascii="Courier New" w:hAnsi="Courier New"/>
          <w:sz w:val="20"/>
        </w:rPr>
        <w:t xml:space="preserve">  client --&gt; json[JsonFspClient на стенде]</w:t>
      </w:r>
    </w:p>
    <w:p>
      <w:r>
        <w:rPr>
          <w:rFonts w:ascii="Courier New" w:hAnsi="Courier New"/>
          <w:sz w:val="20"/>
        </w:rPr>
        <w:t xml:space="preserve">  client -.-&gt; http[Будущая реализация HTTP реестра]</w:t>
      </w:r>
    </w:p>
    <w:p>
      <w:r>
        <w:rPr>
          <w:rFonts w:ascii="Courier New" w:hAnsi="Courier New"/>
          <w:sz w:val="20"/>
        </w:rPr>
        <w:t xml:space="preserve">  app --&gt; kc[Локальный Keycloak на стенде]</w:t>
      </w:r>
    </w:p>
    <w:p>
      <w:r>
        <w:rPr>
          <w:rFonts w:ascii="Courier New" w:hAnsi="Courier New"/>
          <w:sz w:val="20"/>
        </w:rPr>
        <w:t xml:space="preserve">  kc -.-&gt; issuer[Issuer заказчика]</w:t>
      </w:r>
    </w:p>
    <w:p>
      <w:pPr>
        <w:pStyle w:val="Heading1"/>
      </w:pPr>
      <w:r>
        <w:t>API</w:t>
      </w:r>
    </w:p>
    <w:p>
      <w:r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Пароли и коды подтверждения хранятся как хэш Argon2. Код подтверждения сбрасывается после 5 ошибок; вход по паролю после 5 неверных паролей подряд закрыт на 15 минут (429 `login_locked`), счётчик ведётся и для незарегистрированных адресов, поэтому ответ не раскрывает, есть ли учётная запись (ТЗ §3.5 «защита от несанкционированного доступа»). Без сессии доступны регистрация, подтверждение кода, повтор кода и вход.</w:t>
      </w:r>
    </w:p>
    <w:p>
      <w:r>
        <w:t>Группы маршрутов: `/api/auth`, профиль и достижения соискателя, тест (старт, сдача ответов — при результате у границы ответ `status: "extra"` с дополнительными вопросами, история с уверенностью и статусом), резюме и PDF профиля, категория и выдача работодателя (по категории или по всей базе), карточка компании, приглашения, вакансии и отклик (`/api/vacancies`, отклик, одно короткое задание), `GET /validation`.</w:t>
      </w:r>
    </w:p>
    <w:p>
      <w:pPr/>
      <w:r>
        <w:t>Рядом с выдачей: `GET /api/employer/category-hint` по тексту потребности, правка своей вакансии `POST /api/employer/vacancies/{id}`, предложение и сдача `GET` и `POST /api/candidate/periodic-task`. В профиле соискателя три флага `show_name`, `show_experience`, `show_achievements`.</w:t>
      </w:r>
    </w:p>
    <w:p>
      <w:pPr>
        <w:pStyle w:val="Heading1"/>
      </w:pPr>
      <w:r>
        <w:t>Библиотеки</w:t>
      </w:r>
    </w:p>
    <w:p>
      <w:r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1.4.0.</w:t>
      </w:r>
    </w:p>
    <w:p>
      <w:r>
        <w:t>Прямые зависимости образа: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Пакет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Версия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0.142.2</w:t>
            </w:r>
          </w:p>
        </w:tc>
      </w:tr>
      <w:tr>
        <w:tc>
          <w:tcPr>
            <w:tcW w:type="dxa" w:w="4320"/>
          </w:tcPr>
          <w:p>
            <w:r>
              <w:t>uvicorn</w:t>
            </w:r>
          </w:p>
        </w:tc>
        <w:tc>
          <w:tcPr>
            <w:tcW w:type="dxa" w:w="4320"/>
          </w:tcPr>
          <w:p>
            <w:r>
              <w:t>0.54.0</w:t>
            </w:r>
          </w:p>
        </w:tc>
      </w:tr>
      <w:tr>
        <w:tc>
          <w:tcPr>
            <w:tcW w:type="dxa" w:w="4320"/>
          </w:tcPr>
          <w:p>
            <w:r>
              <w:t>SQLAlchemy</w:t>
            </w:r>
          </w:p>
        </w:tc>
        <w:tc>
          <w:tcPr>
            <w:tcW w:type="dxa" w:w="4320"/>
          </w:tcPr>
          <w:p>
            <w:r>
              <w:t>2.1.3</w:t>
            </w:r>
          </w:p>
        </w:tc>
      </w:tr>
      <w:tr>
        <w:tc>
          <w:tcPr>
            <w:tcW w:type="dxa" w:w="4320"/>
          </w:tcPr>
          <w:p>
            <w:r>
              <w:t>Jinja2</w:t>
            </w:r>
          </w:p>
        </w:tc>
        <w:tc>
          <w:tcPr>
            <w:tcW w:type="dxa" w:w="4320"/>
          </w:tcPr>
          <w:p>
            <w:r>
              <w:t>3.1.6</w:t>
            </w:r>
          </w:p>
        </w:tc>
      </w:tr>
      <w:tr>
        <w:tc>
          <w:tcPr>
            <w:tcW w:type="dxa" w:w="4320"/>
          </w:tcPr>
          <w:p>
            <w:r>
              <w:t>python-multipart</w:t>
            </w:r>
          </w:p>
        </w:tc>
        <w:tc>
          <w:tcPr>
            <w:tcW w:type="dxa" w:w="4320"/>
          </w:tcPr>
          <w:p>
            <w:r>
              <w:t>0.0.32</w:t>
            </w:r>
          </w:p>
        </w:tc>
      </w:tr>
      <w:tr>
        <w:tc>
          <w:tcPr>
            <w:tcW w:type="dxa" w:w="4320"/>
          </w:tcPr>
          <w:p>
            <w:r>
              <w:t>argon2-cffi</w:t>
            </w:r>
          </w:p>
        </w:tc>
        <w:tc>
          <w:tcPr>
            <w:tcW w:type="dxa" w:w="4320"/>
          </w:tcPr>
          <w:p>
            <w:r>
              <w:t>25.1.0</w:t>
            </w:r>
          </w:p>
        </w:tc>
      </w:tr>
      <w:tr>
        <w:tc>
          <w:tcPr>
            <w:tcW w:type="dxa" w:w="4320"/>
          </w:tcPr>
          <w:p>
            <w:r>
              <w:t>itsdangerous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t>pypdf</w:t>
            </w:r>
          </w:p>
        </w:tc>
        <w:tc>
          <w:tcPr>
            <w:tcW w:type="dxa" w:w="4320"/>
          </w:tcPr>
          <w:p>
            <w:r>
              <w:t>6.19.0</w:t>
            </w:r>
          </w:p>
        </w:tc>
      </w:tr>
      <w:tr>
        <w:tc>
          <w:tcPr>
            <w:tcW w:type="dxa" w:w="4320"/>
          </w:tcPr>
          <w:p>
            <w:r>
              <w:t>reportlab</w:t>
            </w:r>
          </w:p>
        </w:tc>
        <w:tc>
          <w:tcPr>
            <w:tcW w:type="dxa" w:w="4320"/>
          </w:tcPr>
          <w:p>
            <w:r>
              <w:t>5.0.1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46.0.7 (в `pyproject.toml` — `&gt;=44,&lt;47`; нужна для проверки подписи токена ФСП ID)</w:t>
            </w:r>
          </w:p>
        </w:tc>
      </w:tr>
      <w:tr>
        <w:tc>
          <w:tcPr>
            <w:tcW w:type="dxa" w:w="4320"/>
          </w:tcPr>
          <w:p>
            <w:r>
              <w:t>snowballstemmer</w:t>
            </w:r>
          </w:p>
        </w:tc>
        <w:tc>
          <w:tcPr>
            <w:tcW w:type="dxa" w:w="4320"/>
          </w:tcPr>
          <w:p>
            <w:r>
              <w:t>3.1.1</w:t>
            </w:r>
          </w:p>
        </w:tc>
      </w:tr>
      <w:tr>
        <w:tc>
          <w:tcPr>
            <w:tcW w:type="dxa" w:w="4320"/>
          </w:tcPr>
          <w:p>
            <w:r>
              <w:t>pytest</w:t>
            </w:r>
          </w:p>
        </w:tc>
        <w:tc>
          <w:tcPr>
            <w:tcW w:type="dxa" w:w="4320"/>
          </w:tcPr>
          <w:p>
            <w:r>
              <w:t>8.4.2</w:t>
            </w:r>
          </w:p>
        </w:tc>
      </w:tr>
      <w:tr>
        <w:tc>
          <w:tcPr>
            <w:tcW w:type="dxa" w:w="4320"/>
          </w:tcPr>
          <w:p>
            <w:r>
              <w:t>httpx</w:t>
            </w:r>
          </w:p>
        </w:tc>
        <w:tc>
          <w:tcPr>
            <w:tcW w:type="dxa" w:w="4320"/>
          </w:tcPr>
          <w:p>
            <w:r>
              <w:t>0.28.1</w:t>
            </w:r>
          </w:p>
        </w:tc>
      </w:tr>
    </w:tbl>
    <w:p>
      <w:r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r>
        <w:rPr>
          <w:rFonts w:ascii="Courier New" w:hAnsi="Courier New"/>
          <w:sz w:val="20"/>
        </w:rPr>
        <w:t>docker compose -f deploy/fsp/compose.yaml up --build</w:t>
      </w:r>
    </w:p>
    <w:p>
      <w:r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Контейнер Keycloak слушает `127.0.0.1:8080` и не блокирует старт uvicorn. Keycloak, Pango и Node в образ приложения не входят. Кабинеты: `http://127.0.0.1:8000`.</w:t>
      </w:r>
    </w:p>
    <w:p>
      <w:r>
        <w:t>Проверка тестов:</w:t>
      </w:r>
    </w:p>
    <w:p>
      <w:r>
        <w:rPr>
          <w:rFonts w:ascii="Courier New" w:hAnsi="Courier New"/>
          <w:sz w:val="20"/>
        </w:rPr>
        <w:t>docker compose -f deploy/fsp/compose.yaml --profile test run --rm tests</w:t>
      </w:r>
    </w:p>
    <w:p>
      <w:r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t>На стенде вакансия есть и публикуется сразу со статусом `published`. Очереди `draft` → `in_review` нет: это по-прежнему концепция, не код. Когда появится модерация, новая строка не станет публичной сразу. Очередь концепции: `draft` → `in_review` → `published` или `rejected`. Публикует модератор стенда, не автор карточки. Отклик и одно короткое задание на вакансию есть и в испытание грейда не входят. Вебхука ATS, проверки ИНН и бейджа юрлица нет.</w:t>
      </w:r>
    </w:p>
    <w:p>
      <w:r>
        <w:t>Фиктивной в этой концепции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t>Публичного URL нет. Кабинеты после compose — `http://127.0.0.1:8000`. Эксперты без Docker смотрят скрины и видео презентации. Вакансия, отклик и одно короткое задание на стенде есть и в испытание грейда не входят. Вебхука ATS, проверки ИНН и бейджа юрлица нет. Адаптив под телефон обязательный путь не закрывает и этот стенд не блокирует.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exception.expert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