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/>
          <w:b/>
          <w:color w:val="1B365D"/>
          <w:sz w:val="48"/>
        </w:rPr>
        <w:t>ESPECIFICACIÓN DE CASO DE USO</w:t>
        <w:br/>
      </w:r>
    </w:p>
    <w:p>
      <w:pPr>
        <w:jc w:val="center"/>
      </w:pPr>
      <w:r>
        <w:rPr>
          <w:rFonts w:ascii="Arial" w:hAnsi="Arial"/>
          <w:i/>
          <w:color w:val="D99B00"/>
          <w:sz w:val="26"/>
        </w:rPr>
        <w:t>Formato Estructurado 'Fully Dressed' - Alistair Cockburn</w:t>
        <w:br/>
      </w:r>
    </w:p>
    <w:p>
      <w:pPr>
        <w:spacing w:before="20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jc w:val="right"/>
            </w:pPr>
            <w:r>
              <w:rPr>
                <w:b/>
                <w:color w:val="1B365D"/>
              </w:rPr>
              <w:t>Código de Caso de Uso: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i/>
              </w:rPr>
              <w:t>[CU-XX]</w:t>
            </w:r>
          </w:p>
        </w:tc>
      </w:tr>
      <w:tr>
        <w:tc>
          <w:tcPr>
            <w:tcW w:type="dxa" w:w="3600"/>
          </w:tcPr>
          <w:p>
            <w:pPr>
              <w:jc w:val="right"/>
            </w:pPr>
            <w:r>
              <w:rPr>
                <w:b/>
                <w:color w:val="1B365D"/>
              </w:rPr>
              <w:t>Nombre del Caso de Uso: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i/>
              </w:rPr>
              <w:t>[Verbo en Infinitivo + Sustantivo]</w:t>
            </w:r>
          </w:p>
        </w:tc>
      </w:tr>
      <w:tr>
        <w:tc>
          <w:tcPr>
            <w:tcW w:type="dxa" w:w="3600"/>
          </w:tcPr>
          <w:p>
            <w:pPr>
              <w:jc w:val="right"/>
            </w:pPr>
            <w:r>
              <w:rPr>
                <w:b/>
                <w:color w:val="1B365D"/>
              </w:rPr>
              <w:t>Proyecto / Sistema: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i/>
              </w:rPr>
              <w:t>[Nombre del Sistema]</w:t>
            </w:r>
          </w:p>
        </w:tc>
      </w:tr>
      <w:tr>
        <w:tc>
          <w:tcPr>
            <w:tcW w:type="dxa" w:w="3600"/>
          </w:tcPr>
          <w:p>
            <w:pPr>
              <w:jc w:val="right"/>
            </w:pPr>
            <w:r>
              <w:rPr>
                <w:b/>
                <w:color w:val="1B365D"/>
              </w:rPr>
              <w:t>Fecha de Versión: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i/>
              </w:rPr>
              <w:t>[DD/MM/AAAA]</w:t>
            </w:r>
          </w:p>
        </w:tc>
      </w:tr>
      <w:tr>
        <w:tc>
          <w:tcPr>
            <w:tcW w:type="dxa" w:w="3600"/>
          </w:tcPr>
          <w:p>
            <w:pPr>
              <w:jc w:val="right"/>
            </w:pPr>
            <w:r>
              <w:rPr>
                <w:b/>
                <w:color w:val="1B365D"/>
              </w:rPr>
              <w:t>Autor del Artefacto: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i/>
              </w:rPr>
              <w:t>[Nombre del Analista]</w:t>
            </w:r>
          </w:p>
        </w:tc>
      </w:tr>
      <w:tr>
        <w:tc>
          <w:tcPr>
            <w:tcW w:type="dxa" w:w="3600"/>
          </w:tcPr>
          <w:p>
            <w:pPr>
              <w:jc w:val="right"/>
            </w:pPr>
            <w:r>
              <w:rPr>
                <w:b/>
                <w:color w:val="1B365D"/>
              </w:rPr>
              <w:t>Estado de Aprobación: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rPr>
                <w:i/>
              </w:rPr>
              <w:t>[Borrador / Bajo Revisión / Aprobado]</w:t>
            </w:r>
          </w:p>
        </w:tc>
      </w:tr>
    </w:tbl>
    <w:p>
      <w:r>
        <w:br w:type="page"/>
      </w:r>
    </w:p>
    <w:p>
      <w:pPr>
        <w:pStyle w:val="Heading1"/>
      </w:pPr>
      <w:r>
        <w:t>1. Ficha del Caso de Uso (¿Quién? ¿Qué? ¿Cuándo?)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Nombre del Caso de Uso: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[CU-XX: Nombre descriptivo, ej. Procesar Venta]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Actor Principal (Quién):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[Rol de la persona u organización que detona el proceso]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Nivel de Abstracción: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[User Goal (Objetivo de usuario) | Summary (Resumen) | Subfunction]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Alcance del Sistema: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[SUD - System Under Design. Ej: Aplicación Móvil de Ventas]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Evento Disparador (Trigger):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[Evento específico que inicia la ejecución, ej: Presiona botón registrar]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Precondiciones (Cuándo):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[Estado obligatorio en el que debe encontrarse el sistema antes de iniciar, ej: Sesión activa]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Postcondiciones (Éxito):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[Garantía de éxito en el sistema y datos, ej: Transacción persistida en DB]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Garantía Mínima (Fallo):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[Promesa a stakeholders ante un fallo del flujo, ej: Se cancela pago y registra log]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Actores Secundarios: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[Sistemas externos o servicios que el SUD llama durante la ejecución]</w:t>
            </w:r>
          </w:p>
        </w:tc>
      </w:tr>
      <w:tr>
        <w:tc>
          <w:tcPr>
            <w:tcW w:type="dxa" w:w="3168"/>
          </w:tcPr>
          <w:p>
            <w:pPr>
              <w:jc w:val="right"/>
            </w:pPr>
            <w:r>
              <w:rPr>
                <w:b/>
                <w:color w:val="1B365D"/>
              </w:rPr>
              <w:t>Descripción Breve (Qué/Para qué):</w:t>
            </w:r>
          </w:p>
        </w:tc>
        <w:tc>
          <w:tcPr>
            <w:tcW w:type="dxa" w:w="6192"/>
          </w:tcPr>
          <w:p>
            <w:pPr>
              <w:jc w:val="left"/>
            </w:pPr>
            <w:r>
              <w:t>[Resumen ejecutivo de 3 líneas sobre la meta del caso de uso]</w:t>
            </w:r>
          </w:p>
        </w:tc>
      </w:tr>
    </w:tbl>
    <w:p>
      <w:pPr>
        <w:spacing w:before="240"/>
      </w:pPr>
    </w:p>
    <w:p>
      <w:pPr>
        <w:pStyle w:val="Heading1"/>
      </w:pPr>
      <w:r>
        <w:t>2. Modelo de Contexto Visual</w:t>
      </w:r>
    </w:p>
    <w:p>
      <w:r>
        <w:t>A continuación, se debe incorporar el Diagrama de Contexto (Modelo C4 Nivel 1) o el Diagrama de Casos de Uso UML que muestra de forma visual la interacción del actor principal con el sistema y otros sistemas externos.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Borders>
              <w:left w:val="single" w:sz="24" w:color="1B365D"/>
              <w:top w:val="none"/>
              <w:bottom w:val="none"/>
              <w:right w:val="none"/>
            </w:tcBorders>
          </w:tcPr>
          <w:p>
            <w:r>
              <w:rPr>
                <w:rFonts w:ascii="Calibri" w:hAnsi="Calibri"/>
                <w:i/>
                <w:color w:val="505050"/>
                <w:sz w:val="21"/>
              </w:rPr>
              <w:t>[Espacio reservado para insertar el Diagrama de Contexto de Arquitectura o Diagrama UML de Casos de Uso del Negocio]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3. Partes Interesadas y sus Intereses</w:t>
      </w:r>
    </w:p>
    <w:p>
      <w:r>
        <w:t>Identificación de quiénes se preocupan por este caso de uso y qué garantías exige el negocio: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Parte Interesada (Stakeholder)</w:t>
            </w:r>
          </w:p>
        </w:tc>
        <w:tc>
          <w:tcPr>
            <w:tcW w:type="dxa" w:w="6480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Interés en este Caso de Uso (Garantía exigida)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Cajero Principal</w:t>
            </w:r>
          </w:p>
        </w:tc>
        <w:tc>
          <w:tcPr>
            <w:tcW w:type="dxa" w:w="6480"/>
          </w:tcPr>
          <w:p>
            <w:r>
              <w:t>Garantizar que el sistema calcule el cambio correcto sin retrasar la fila de clientes.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Administrador de Sistemas</w:t>
            </w:r>
          </w:p>
        </w:tc>
        <w:tc>
          <w:tcPr>
            <w:tcW w:type="dxa" w:w="6480"/>
          </w:tcPr>
          <w:p>
            <w:r>
              <w:t>Asegurar que todas las transacciones queden auditadas bajo estrictas medidas de persistencia.</w:t>
            </w:r>
          </w:p>
        </w:tc>
      </w:tr>
    </w:tbl>
    <w:p>
      <w:r>
        <w:br w:type="page"/>
      </w:r>
    </w:p>
    <w:p>
      <w:pPr>
        <w:pStyle w:val="Heading1"/>
      </w:pPr>
      <w:r>
        <w:t>4. Escenario Principal de Éxito (Camino Feliz - Happy Path)</w:t>
      </w:r>
    </w:p>
    <w:p>
      <w:r>
        <w:t>Describe la secuencia paso a paso donde todas las validaciones son exitosas. Se escribe en un estilo conversacional directo de ping-pong (Acción del Actor frente a Reacción del Sistema).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Paso</w:t>
            </w:r>
          </w:p>
        </w:tc>
        <w:tc>
          <w:tcPr>
            <w:tcW w:type="dxa" w:w="4248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Acción del Actor (Voz Activa / Presente)</w:t>
            </w:r>
          </w:p>
        </w:tc>
        <w:tc>
          <w:tcPr>
            <w:tcW w:type="dxa" w:w="4248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Respuesta del Sistema (Comportamiento de Caja Negra)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4248"/>
          </w:tcPr>
          <w:p>
            <w:r>
              <w:t>El Cajero inicia sesión y solicita registrar una nueva venta.</w:t>
            </w:r>
          </w:p>
        </w:tc>
        <w:tc>
          <w:tcPr>
            <w:tcW w:type="dxa" w:w="4248"/>
          </w:tcPr>
          <w:p>
            <w:r>
              <w:t>El sistema muestra la interfaz de facturación vacía.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4248"/>
          </w:tcPr>
          <w:p>
            <w:r>
              <w:t>El Cajero escanea o introduce el código de barras del producto.</w:t>
            </w:r>
          </w:p>
        </w:tc>
        <w:tc>
          <w:tcPr>
            <w:tcW w:type="dxa" w:w="4248"/>
          </w:tcPr>
          <w:p>
            <w:r>
              <w:t>El sistema busca el código, calcula el precio y lo añade al carrito de compras.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4248"/>
          </w:tcPr>
          <w:p>
            <w:r>
              <w:t>El Cajero solicita procesar el pago final en efectivo.</w:t>
            </w:r>
          </w:p>
        </w:tc>
        <w:tc>
          <w:tcPr>
            <w:tcW w:type="dxa" w:w="4248"/>
          </w:tcPr>
          <w:p>
            <w:r>
              <w:t>El sistema calcula el monto total, los impuestos y solicita ingresar el monto entregado.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4248"/>
          </w:tcPr>
          <w:p>
            <w:r>
              <w:t>El Cajero ingresa el monto pagado por el cliente.</w:t>
            </w:r>
          </w:p>
        </w:tc>
        <w:tc>
          <w:tcPr>
            <w:tcW w:type="dxa" w:w="4248"/>
          </w:tcPr>
          <w:p>
            <w:r>
              <w:t>El sistema valida la cantidad, calcula el cambio a entregar y abre la gaveta física.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4248"/>
          </w:tcPr>
          <w:p>
            <w:r>
              <w:t>El Cajero confirma la finalización de la transacción.</w:t>
            </w:r>
          </w:p>
        </w:tc>
        <w:tc>
          <w:tcPr>
            <w:tcW w:type="dxa" w:w="4248"/>
          </w:tcPr>
          <w:p>
            <w:r>
              <w:t>El sistema registra de forma persistente la venta en DB, emite el ticket fiscal digital y cierra la venta.</w:t>
            </w:r>
          </w:p>
        </w:tc>
      </w:tr>
    </w:tbl>
    <w:p>
      <w:pPr>
        <w:spacing w:before="240"/>
      </w:pPr>
    </w:p>
    <w:p>
      <w:pPr>
        <w:pStyle w:val="Heading1"/>
      </w:pPr>
      <w:r>
        <w:t>5. Diagrama de Comportamiento UML</w:t>
      </w:r>
    </w:p>
    <w:p>
      <w:r>
        <w:t>Para complementar la secuencia textual del flujo principal, incorpore un Diagrama de Secuencia o de Actividad UML que mapee visualmente la interacción temporal de los pasos descritos.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Borders>
              <w:left w:val="single" w:sz="24" w:color="1B365D"/>
              <w:top w:val="none"/>
              <w:bottom w:val="none"/>
              <w:right w:val="none"/>
            </w:tcBorders>
          </w:tcPr>
          <w:p>
            <w:r>
              <w:rPr>
                <w:rFonts w:ascii="Calibri" w:hAnsi="Calibri"/>
                <w:i/>
                <w:color w:val="505050"/>
                <w:sz w:val="21"/>
              </w:rPr>
              <w:t>[Espacio reservado para el Diagrama de Secuencia UML (interacción de objetos/clases de análisis) o Diagrama de Actividad UML]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6. Extensiones y Flujos Alternativos (¿Y si...?)</w:t>
      </w:r>
    </w:p>
    <w:p>
      <w:r>
        <w:t>Documenta las desviaciones del flujo principal debido a errores de validación, decisiones de negocio o problemas de entorno. Cada extensión debe referenciar el paso donde se ramifica: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  <w:tcBorders>
              <w:left w:val="single" w:sz="24" w:color="1B365D"/>
              <w:top w:val="none"/>
              <w:bottom w:val="none"/>
              <w:right w:val="none"/>
            </w:tcBorders>
          </w:tcPr>
          <w:p>
            <w:r>
              <w:rPr>
                <w:rFonts w:ascii="Calibri" w:hAnsi="Calibri"/>
                <w:i/>
                <w:color w:val="505050"/>
                <w:sz w:val="21"/>
              </w:rPr>
              <w:t>Formato estándar para Extensiones:</w:t>
              <w:br/>
              <w:t>*   Paso_Alter. Condición detectada por el sistema:</w:t>
              <w:br/>
              <w:t xml:space="preserve">    1. Acción correctora del actor o sistema.</w:t>
              <w:br/>
              <w:t xml:space="preserve">    2. Retorno al flujo principal (Paso X) o Terminación del caso de uso en fallo.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Paso Ref.</w:t>
            </w:r>
          </w:p>
        </w:tc>
        <w:tc>
          <w:tcPr>
            <w:tcW w:type="dxa" w:w="3960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Condición de Desvío</w:t>
            </w:r>
          </w:p>
        </w:tc>
        <w:tc>
          <w:tcPr>
            <w:tcW w:type="dxa" w:w="3960"/>
            <w:shd w:val="clear" w:color="auto" w:fill="1B365D"/>
          </w:tcPr>
          <w:p>
            <w:pPr>
              <w:jc w:val="center"/>
            </w:pPr>
            <w:r>
              <w:rPr>
                <w:b/>
              </w:rPr>
              <w:t>Acción de Recuperación / Salida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2a</w:t>
            </w:r>
          </w:p>
        </w:tc>
        <w:tc>
          <w:tcPr>
            <w:tcW w:type="dxa" w:w="3960"/>
          </w:tcPr>
          <w:p>
            <w:r>
              <w:t>El código de producto no existe en el catálogo:</w:t>
            </w:r>
          </w:p>
        </w:tc>
        <w:tc>
          <w:tcPr>
            <w:tcW w:type="dxa" w:w="3960"/>
          </w:tcPr>
          <w:p>
            <w:r>
              <w:t>1. El sistema muestra mensaje de advertencia.</w:t>
              <w:br/>
              <w:t>2. El Cajero ingresa código manual o cancela ítem.</w:t>
              <w:br/>
              <w:t>3. Retorna al paso 2 del flujo principal.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4a</w:t>
            </w:r>
          </w:p>
        </w:tc>
        <w:tc>
          <w:tcPr>
            <w:tcW w:type="dxa" w:w="3960"/>
          </w:tcPr>
          <w:p>
            <w:r>
              <w:t>El monto entregado es inferior al total facturado:</w:t>
            </w:r>
          </w:p>
        </w:tc>
        <w:tc>
          <w:tcPr>
            <w:tcW w:type="dxa" w:w="3960"/>
          </w:tcPr>
          <w:p>
            <w:r>
              <w:t>1. El sistema bloquea el cobro e indica faltante.</w:t>
              <w:br/>
              <w:t>2. El Cajero solicita dinero adicional o anula venta.</w:t>
              <w:br/>
              <w:t>3. Retorna al paso 4 o aborta caso de uso.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[Paso Ref]</w:t>
            </w:r>
          </w:p>
        </w:tc>
        <w:tc>
          <w:tcPr>
            <w:tcW w:type="dxa" w:w="3960"/>
          </w:tcPr>
          <w:p>
            <w:r>
              <w:t>[Condición detectada]</w:t>
            </w:r>
          </w:p>
        </w:tc>
        <w:tc>
          <w:tcPr>
            <w:tcW w:type="dxa" w:w="3960"/>
          </w:tcPr>
          <w:p>
            <w:r>
              <w:t>[Lógica de resolución o flujo de cancelación]</w:t>
            </w:r>
          </w:p>
        </w:tc>
      </w:tr>
    </w:tbl>
    <w:p>
      <w:pPr>
        <w:spacing w:before="240"/>
      </w:pPr>
    </w:p>
    <w:p>
      <w:pPr>
        <w:pStyle w:val="Heading1"/>
      </w:pPr>
      <w:r>
        <w:t>7. Requisitos Especiales (No Funcionales específicos)</w:t>
      </w:r>
    </w:p>
    <w:p>
      <w:r>
        <w:t>Describa los requerimientos no funcionales particulares que aplican estrictamente a la ejecución de este caso de uso:</w:t>
      </w:r>
    </w:p>
    <w:p>
      <w:r>
        <w:t>• Rendimiento: &lt;Ej: La consulta del stock del producto en el paso 2 no debe tomar más de 500 milisegundos.&gt;</w:t>
      </w:r>
    </w:p>
    <w:p>
      <w:r>
        <w:t>• Usabilidad: &lt;Ej: La pantalla de venta debe estar adaptada para pantallas táctiles de terminales de POS.&gt;</w:t>
      </w:r>
    </w:p>
    <w:p>
      <w:r>
        <w:t>• Seguridad: &lt;Ej: El cajero no debe poder ver datos de compras de otros clientes durante el proceso de cobro.&gt;</w:t>
      </w:r>
    </w:p>
    <w:p>
      <w:pPr>
        <w:pStyle w:val="Heading1"/>
      </w:pPr>
      <w:r>
        <w:t>8. Variaciones de Tecnología y Datos</w:t>
      </w:r>
    </w:p>
    <w:p>
      <w:r>
        <w:t>&lt;Mapear diferencias técnicas en cómo se completan los pasos en base a la infraestructura del sistema.&gt;</w:t>
      </w:r>
    </w:p>
    <w:p>
      <w:r>
        <w:t>• Paso 2: El Cajero puede registrar el producto mediante lector láser de código de barras, cámara de terminal móvil, o ingreso numérico manual por teclado de membrana.</w:t>
      </w:r>
    </w:p>
    <w:p>
      <w:r>
        <w:t>• Paso 5: El ticket de venta puede emitirse impreso físicamente por impresora térmica de matriz, enviarse por correo electrónico en formato PDF o sincronizarse en la app del cliente.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Taller de Sistemas de Información | Especificación de Caso de Uso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FFFFF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99B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