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Finance Officer Agreement</w:t>
      </w:r>
    </w:p>
    <w:p>
      <w:pPr>
        <w:pBdr>
          <w:bottom w:val="single" w:color="BFBFBF" w:sz="6" w:space="8"/>
        </w:pBdr>
        <w:spacing w:after="300"/>
      </w:pPr>
      <w:r>
        <w:rPr>
          <w:rFonts w:ascii="Calibri" w:cs="Calibri" w:eastAsia="Calibri" w:hAnsi="Calibri"/>
          <w:color w:val="595959"/>
          <w:sz w:val="22"/>
          <w:szCs w:val="22"/>
        </w:rPr>
        <w:t xml:space="preserve">Finance, payments, and controls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[OFFICER FULL NAME] of [ADDRESS] (the "Officer",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Statutory duty sits with the directors</w:t>
            </w:r>
          </w:p>
          <w:p>
            <w:r>
              <w:rPr>
                <w:rFonts w:ascii="Calibri" w:cs="Calibri" w:eastAsia="Calibri" w:hAnsi="Calibri"/>
                <w:color w:val="78350F"/>
                <w:sz w:val="20"/>
                <w:szCs w:val="20"/>
              </w:rPr>
              <w:t xml:space="preserve">Section 281 of the Companies Act 2014 places the duty to keep adequate accounting records on the company and its directors, and it cannot be delegated away. The Officer supports that duty; the Founder as director remains responsible for it. Clause 2.4 records this.</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requires support on bookkeeping, payments, budgeting, and financial controls.</w:t>
      </w:r>
    </w:p>
    <w:p>
      <w:pPr>
        <w:spacing w:after="120"/>
      </w:pPr>
      <w:r>
        <w:rPr>
          <w:rFonts w:ascii="Calibri" w:cs="Calibri" w:eastAsia="Calibri" w:hAnsi="Calibri"/>
          <w:b w:val="false"/>
          <w:bCs w:val="false"/>
          <w:i w:val="false"/>
          <w:iCs w:val="false"/>
          <w:sz w:val="22"/>
          <w:szCs w:val="22"/>
        </w:rPr>
        <w:t xml:space="preserve">B.  The Officer will provide that support and will work jointly with the Legal Counsel on the matters in clause 5.</w:t>
      </w:r>
    </w:p>
    <w:p>
      <w:pPr>
        <w:keepNext/>
        <w:spacing w:after="120" w:before="280"/>
      </w:pPr>
      <w:r>
        <w:rPr>
          <w:rFonts w:ascii="Calibri" w:cs="Calibri" w:eastAsia="Calibri" w:hAnsi="Calibri"/>
          <w:b/>
          <w:bCs/>
          <w:color w:val="1E3A5F"/>
          <w:sz w:val="24"/>
          <w:szCs w:val="24"/>
        </w:rPr>
        <w:t xml:space="preserve">1.  Services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The Officer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maintain the books and records, including sales, purchases, bank reconciliation, and expenses;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operate payment runs for coaches, handlers, contributors, and suppliers, in accordance with the applicable agreements;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calculate and verify the coach revenue share, handler service fees, outreach commission, and any other variable payment, and reconcile them to the underlying agreements;</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raise and issue invoices to partners and manage collections;</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reconcile the payment processor account and the platform records, and investigate any difference;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prepare monthly management figures, cash position, and runway;</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maintain the budget and report variances;</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prepare information for the external accountant, for Revenue filings, and for the annual return; and</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work with the Legal Counsel under clause 5.</w:t>
      </w:r>
    </w:p>
    <w:p>
      <w:pPr>
        <w:tabs>
          <w:tab w:val="left" w:pos="720"/>
        </w:tabs>
        <w:spacing w:after="120"/>
        <w:ind w:left="720" w:hanging="720"/>
      </w:pPr>
      <w:r>
        <w:rPr>
          <w:rFonts w:ascii="Calibri" w:cs="Calibri" w:eastAsia="Calibri" w:hAnsi="Calibri"/>
          <w:sz w:val="22"/>
          <w:szCs w:val="22"/>
        </w:rPr>
        <w:t xml:space="preserve">1.2</w:t>
      </w:r>
      <w:r>
        <w:rPr>
          <w:rFonts w:ascii="Calibri" w:cs="Calibri" w:eastAsia="Calibri" w:hAnsi="Calibri"/>
          <w:sz w:val="22"/>
          <w:szCs w:val="22"/>
        </w:rPr>
        <w:t xml:space="preserve">	The Officer will maintain records in a form that allows the Company to comply with section 281 of the Companies Act 2014 and with Revenue record-keeping requirements, including retention of records for six (6) years.</w:t>
      </w:r>
    </w:p>
    <w:p>
      <w:pPr>
        <w:keepNext/>
        <w:spacing w:after="120" w:before="280"/>
      </w:pPr>
      <w:r>
        <w:rPr>
          <w:rFonts w:ascii="Calibri" w:cs="Calibri" w:eastAsia="Calibri" w:hAnsi="Calibri"/>
          <w:b/>
          <w:bCs/>
          <w:color w:val="1E3A5F"/>
          <w:sz w:val="24"/>
          <w:szCs w:val="24"/>
        </w:rPr>
        <w:t xml:space="preserve">2.  Scope and limits</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Officer's professional status is recorded in Schedule 1.</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Where the Officer is not a member of a recognised accountancy body, neither party will describe the Officer as UniBlueprint's accountant or auditor to any third party, and the Officer will not sign or certify statutory financial statements.</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Officer will not act as auditor. Statutory accounts, tax returns, and any statutory filing requiring a qualified professional will be prepared or reviewed by an appropriately qualified external accountant.</w:t>
      </w:r>
    </w:p>
    <w:p>
      <w:pPr>
        <w:tabs>
          <w:tab w:val="left" w:pos="720"/>
        </w:tabs>
        <w:spacing w:after="120"/>
        <w:ind w:left="720" w:hanging="720"/>
      </w:pPr>
      <w:r>
        <w:rPr>
          <w:rFonts w:ascii="Calibri" w:cs="Calibri" w:eastAsia="Calibri" w:hAnsi="Calibri"/>
          <w:sz w:val="22"/>
          <w:szCs w:val="22"/>
        </w:rPr>
        <w:t xml:space="preserve">2.4</w:t>
      </w:r>
      <w:r>
        <w:rPr>
          <w:rFonts w:ascii="Calibri" w:cs="Calibri" w:eastAsia="Calibri" w:hAnsi="Calibri"/>
          <w:sz w:val="22"/>
          <w:szCs w:val="22"/>
        </w:rPr>
        <w:t xml:space="preserve">	The duty to keep adequate accounting records under section 281 of the Companies Act 2014 rests with the Company and its directors. The Officer supports the discharge of that duty but does not assume it.</w:t>
      </w:r>
    </w:p>
    <w:p>
      <w:pPr>
        <w:tabs>
          <w:tab w:val="left" w:pos="720"/>
        </w:tabs>
        <w:spacing w:after="120"/>
        <w:ind w:left="720" w:hanging="720"/>
      </w:pPr>
      <w:r>
        <w:rPr>
          <w:rFonts w:ascii="Calibri" w:cs="Calibri" w:eastAsia="Calibri" w:hAnsi="Calibri"/>
          <w:sz w:val="22"/>
          <w:szCs w:val="22"/>
        </w:rPr>
        <w:t xml:space="preserve">2.5</w:t>
      </w:r>
      <w:r>
        <w:rPr>
          <w:rFonts w:ascii="Calibri" w:cs="Calibri" w:eastAsia="Calibri" w:hAnsi="Calibri"/>
          <w:sz w:val="22"/>
          <w:szCs w:val="22"/>
        </w:rPr>
        <w:t xml:space="preserve">	The Officer does not provide tax advice, investment advice, or any service regulated under the Investment Intermediaries Act 1995 or the Central Bank Acts.</w:t>
      </w:r>
    </w:p>
    <w:p>
      <w:pPr>
        <w:keepNext/>
        <w:spacing w:after="120" w:before="280"/>
      </w:pPr>
      <w:r>
        <w:rPr>
          <w:rFonts w:ascii="Calibri" w:cs="Calibri" w:eastAsia="Calibri" w:hAnsi="Calibri"/>
          <w:b/>
          <w:bCs/>
          <w:color w:val="1E3A5F"/>
          <w:sz w:val="24"/>
          <w:szCs w:val="24"/>
        </w:rPr>
        <w:t xml:space="preserve">3.  Financial controls</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The Officer will operate and maintain the following controls:</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no payment without an approved invoice or an approved payment schedule and a matching signed agreement;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segregation between the person who approves a payment and the person who releases it;</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bank reconciliation performed at least monthly;</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 register of recurring commitments and subscriptions, reviewed quarterly;</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verification of any change to a supplier's or contractor's bank details by direct contact using previously held details, never using details supplied in the change request;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a record of every payment approval, retained for six (6) years.</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The Officer will report immediately to the Founder any suspected fraud, error, misappropriation, or material control failure.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The Officer will not release any payment that lacks a signed agreement or approved authority behind it, and will escalate rather than release.</w:t>
      </w:r>
    </w:p>
    <w:p>
      <w:pPr>
        <w:keepNext/>
        <w:spacing w:after="120" w:before="280"/>
      </w:pPr>
      <w:r>
        <w:rPr>
          <w:rFonts w:ascii="Calibri" w:cs="Calibri" w:eastAsia="Calibri" w:hAnsi="Calibri"/>
          <w:b/>
          <w:bCs/>
          <w:color w:val="1E3A5F"/>
          <w:sz w:val="24"/>
          <w:szCs w:val="24"/>
        </w:rPr>
        <w:t xml:space="preserve">4.  Handling of member and payment data</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The Officer will access payment and member financial data only as necessary and only through UniBlueprint systems.</w:t>
      </w:r>
    </w:p>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The Officer will not store card data. Card processing is performed solely by UniBlueprint's payment processor, and UniBlueprint does not hold card numbers.</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Officer will comply with the retention schedule in the UniBlueprint Privacy Policy, under which payment records are retained for seven (7) years to meet Irish tax requirements.</w:t>
      </w:r>
    </w:p>
    <w:p>
      <w:pPr>
        <w:keepNext/>
        <w:spacing w:after="120" w:before="280"/>
      </w:pPr>
      <w:r>
        <w:rPr>
          <w:rFonts w:ascii="Calibri" w:cs="Calibri" w:eastAsia="Calibri" w:hAnsi="Calibri"/>
          <w:b/>
          <w:bCs/>
          <w:color w:val="1E3A5F"/>
          <w:sz w:val="24"/>
          <w:szCs w:val="24"/>
        </w:rPr>
        <w:t xml:space="preserve">5.  Joint working with Legal</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Officer and the Legal Counsel operate as a joint control function over UniBlueprint's commercial commitments and payments.</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Together they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ensure no payment is made and no commitment entered into without a signed agreement or approved purchase authority behind it;</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maintain a single register linking each signed agreement to its payment terms;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review partner, coach, handler, and contributor payment runs before release;</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agree the commission, fee, and revenue-share calculations applied under each agreement;</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operate the dual-authorisation control in clause 5.3; and</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report jointly to the Founder each month on committed spend, amounts due, and any mismatch between contract and payment.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Dual authorisation. Any single payment or commitment exceeding €[THRESHOLD] requires the approval of both the Officer and the Legal Counsel, recorded in writing, in addition to any approval required from the Founder. Neither may approve a payment in which they have a personal interest.</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Where the Officer and the Legal Counsel disagree, the matter is referred to the Founder, whose decision is recorded with both positions noted.</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remuneration of the Officer and the Legal Counsel is set out in Schedule 2 of each of their agreements. Neither may set, approve, or vary their own remuneration or that of the other. Any change to either requires the Founder's written approval and, once constituted, board approval.</w:t>
      </w:r>
    </w:p>
    <w:p>
      <w:pPr>
        <w:keepNext/>
        <w:spacing w:after="120" w:before="280"/>
      </w:pPr>
      <w:r>
        <w:rPr>
          <w:rFonts w:ascii="Calibri" w:cs="Calibri" w:eastAsia="Calibri" w:hAnsi="Calibri"/>
          <w:b/>
          <w:bCs/>
          <w:color w:val="1E3A5F"/>
          <w:sz w:val="24"/>
          <w:szCs w:val="24"/>
        </w:rPr>
        <w:t xml:space="preserve">6.  Status</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Officer provides services as an independent contractor. This Agreement does not create a contract of employment, an apprenticeship, a partnership, or an agency.</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Officer decides how and when to perform the services, subject to agreed deadlines, is free to work for others including competitors, and provides their own equipment.</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UniBlueprint is not obliged to offer work and the Officer is not obliged to accept it. There are no set hours and no guaranteed volume or income.</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Officer is responsible for their own income tax, USC, PRSI, and VAT, and will register with the Revenue Commissioners as required. The Officer will indemnify UniBlueprint against any tax or social insurance liability assessed on UniBlueprint in respect of payments under this Agreement, other than any amount arising from UniBlueprint's own failure to operate a deduction it was legally obliged to operate.</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The Officer is not entitled to holiday pay, sick pay, pension contributions, notice, or redundancy.</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Officer has no authority to bind UniBlueprint, incur expenditure, or make any representation on its behalf, except as expressly stated in this Agreement.</w:t>
      </w:r>
    </w:p>
    <w:p>
      <w:pPr>
        <w:keepNext/>
        <w:spacing w:after="120" w:before="280"/>
      </w:pPr>
      <w:r>
        <w:rPr>
          <w:rFonts w:ascii="Calibri" w:cs="Calibri" w:eastAsia="Calibri" w:hAnsi="Calibri"/>
          <w:b/>
          <w:bCs/>
          <w:color w:val="1E3A5F"/>
          <w:sz w:val="24"/>
          <w:szCs w:val="24"/>
        </w:rPr>
        <w:t xml:space="preserve">7.  Intellectual property</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All intellectual property created by the Officer in the course of providing the services under this Agreement ("Work Product") belongs to UniBlueprint from the moment of creation.</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The Officer assigns to UniBlueprint, with full title guarantee, all present and future intellectual property rights in the Work Product, including copyright under the Copyright and Related Rights Act 2000, database rights, and design rights, throughout the world and for the full term of those rights.</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Officer waives all moral rights in the Work Product so far as the law allows.</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Officer will sign any further document and do anything else reasonably required to give effect to this clause, at UniBlueprint's cost. This obligation continues after termination.</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Where the Work Product incorporates material the Officer owned before this Agreement or created independently of it ("Background IP"), the Officer retains ownership of that Background IP and grants UniBlueprint a perpetual, irrevocable, worldwide, royalty-free licence to use it as part of the Work Product. The Officer will identify any Background IP in writing at the time of delivery.</w:t>
      </w:r>
    </w:p>
    <w:p>
      <w:pPr>
        <w:tabs>
          <w:tab w:val="left" w:pos="720"/>
        </w:tabs>
        <w:spacing w:after="120"/>
        <w:ind w:left="720" w:hanging="720"/>
      </w:pPr>
      <w:r>
        <w:rPr>
          <w:rFonts w:ascii="Calibri" w:cs="Calibri" w:eastAsia="Calibri" w:hAnsi="Calibri"/>
          <w:sz w:val="22"/>
          <w:szCs w:val="22"/>
        </w:rPr>
        <w:t xml:space="preserve">7.6</w:t>
      </w:r>
      <w:r>
        <w:rPr>
          <w:rFonts w:ascii="Calibri" w:cs="Calibri" w:eastAsia="Calibri" w:hAnsi="Calibri"/>
          <w:sz w:val="22"/>
          <w:szCs w:val="22"/>
        </w:rPr>
        <w:t xml:space="preserve">	The Officer warrants that the Work Product is original, does not infringe any third party right, and that any third party material included is properly licensed and identified. The Officer will not include any material generated by an artificial intelligence tool without disclosing it in writing.</w:t>
      </w:r>
    </w:p>
    <w:p>
      <w:pPr>
        <w:keepNext/>
        <w:spacing w:after="120" w:before="280"/>
      </w:pPr>
      <w:r>
        <w:rPr>
          <w:rFonts w:ascii="Calibri" w:cs="Calibri" w:eastAsia="Calibri" w:hAnsi="Calibri"/>
          <w:b/>
          <w:bCs/>
          <w:color w:val="1E3A5F"/>
          <w:sz w:val="24"/>
          <w:szCs w:val="24"/>
        </w:rPr>
        <w:t xml:space="preserve">8.  Remuneration</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Officer is remunerated as set out in Schedule 2.</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Where Schedule 2 records a deferred or contingent arrangement, the trigger, the amount, and the longstop date must all be stated. An arrangement expressed only as "to be agreed" is not payable.</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Invoices are submitted monthly and paid within thirty (30) days.</w:t>
      </w:r>
    </w:p>
    <w:p>
      <w:pPr>
        <w:tabs>
          <w:tab w:val="left" w:pos="720"/>
        </w:tabs>
        <w:spacing w:after="120"/>
        <w:ind w:left="720" w:hanging="720"/>
      </w:pPr>
      <w:r>
        <w:rPr>
          <w:rFonts w:ascii="Calibri" w:cs="Calibri" w:eastAsia="Calibri" w:hAnsi="Calibri"/>
          <w:sz w:val="22"/>
          <w:szCs w:val="22"/>
        </w:rPr>
        <w:t xml:space="preserve">8.4</w:t>
      </w:r>
      <w:r>
        <w:rPr>
          <w:rFonts w:ascii="Calibri" w:cs="Calibri" w:eastAsia="Calibri" w:hAnsi="Calibri"/>
          <w:sz w:val="22"/>
          <w:szCs w:val="22"/>
        </w:rPr>
        <w:t xml:space="preserve">	The Officer may not approve or release their own payment. Their invoices are approved by the Founder and released by another authorised person.</w:t>
      </w:r>
    </w:p>
    <w:p>
      <w:pPr>
        <w:keepNext/>
        <w:spacing w:after="120" w:before="280"/>
      </w:pPr>
      <w:r>
        <w:rPr>
          <w:rFonts w:ascii="Calibri" w:cs="Calibri" w:eastAsia="Calibri" w:hAnsi="Calibri"/>
          <w:b/>
          <w:bCs/>
          <w:color w:val="1E3A5F"/>
          <w:sz w:val="24"/>
          <w:szCs w:val="24"/>
        </w:rPr>
        <w:t xml:space="preserve">9.  Confidentiality</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The Officer will not disclose or use, other than for UniBlueprint's benefit, any confidential information of UniBlueprint. Confidential information includes commercial terms, pricing decisions, financial information, user and member data, partner and coach lists, product plans, source code, marketing strategy, investor discussions, and the terms of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This obligation does not apply to information that is public through no fault of the Officer, that the Officer already lawfully held, or that must be disclosed by law. Where disclosure is required by law the Officer will notify UniBlueprint first where lawful to do so.</w:t>
      </w:r>
    </w:p>
    <w:p>
      <w:pPr>
        <w:tabs>
          <w:tab w:val="left" w:pos="720"/>
        </w:tabs>
        <w:spacing w:after="120"/>
        <w:ind w:left="720" w:hanging="720"/>
      </w:pPr>
      <w:r>
        <w:rPr>
          <w:rFonts w:ascii="Calibri" w:cs="Calibri" w:eastAsia="Calibri" w:hAnsi="Calibri"/>
          <w:sz w:val="22"/>
          <w:szCs w:val="22"/>
        </w:rPr>
        <w:t xml:space="preserve">9.3</w:t>
      </w:r>
      <w:r>
        <w:rPr>
          <w:rFonts w:ascii="Calibri" w:cs="Calibri" w:eastAsia="Calibri" w:hAnsi="Calibri"/>
          <w:sz w:val="22"/>
          <w:szCs w:val="22"/>
        </w:rPr>
        <w:t xml:space="preserve">	Nothing in this Agreement prevents the Officer from making a protected disclosure under the Protected Disclosures Act 2014, from reporting a criminal offence, or from co-operating with a regulator. No confidentiality obligation applies to such a disclosure.</w:t>
      </w:r>
    </w:p>
    <w:p>
      <w:pPr>
        <w:tabs>
          <w:tab w:val="left" w:pos="720"/>
        </w:tabs>
        <w:spacing w:after="120"/>
        <w:ind w:left="720" w:hanging="720"/>
      </w:pPr>
      <w:r>
        <w:rPr>
          <w:rFonts w:ascii="Calibri" w:cs="Calibri" w:eastAsia="Calibri" w:hAnsi="Calibri"/>
          <w:sz w:val="22"/>
          <w:szCs w:val="22"/>
        </w:rPr>
        <w:t xml:space="preserve">9.4</w:t>
      </w:r>
      <w:r>
        <w:rPr>
          <w:rFonts w:ascii="Calibri" w:cs="Calibri" w:eastAsia="Calibri" w:hAnsi="Calibri"/>
          <w:sz w:val="22"/>
          <w:szCs w:val="22"/>
        </w:rPr>
        <w:t xml:space="preserve">	This clause continues for five (5) years after termination, and indefinitely in respect of personal data and trade secrets.</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Where the Officer processes personal data on UniBlueprint's behalf, the Officer acts as a processor, will process it only on UniBlueprint's documented instructions, and will comply with the Data Processing Terms issued by UniBlueprint, which form part of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The Officer will comply with the General Data Protection Regulation (EU) 2016/679 and the Data Protection Act 2018.</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Officer will access only the personal data needed for their role, will use only systems and accounts provided or approved by UniBlueprint, will not transfer personal data to a personal device or account, and will notify UniBlueprint of any actual or suspected personal data breach within twenty-four (24) hours.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On termination the Officer will return or securely delete all personal data and confidential information and confirm in writing that they have done so.</w:t>
      </w:r>
    </w:p>
    <w:p>
      <w:pPr>
        <w:keepNext/>
        <w:spacing w:after="120" w:before="280"/>
      </w:pPr>
      <w:r>
        <w:rPr>
          <w:rFonts w:ascii="Calibri" w:cs="Calibri" w:eastAsia="Calibri" w:hAnsi="Calibri"/>
          <w:b/>
          <w:bCs/>
          <w:color w:val="1E3A5F"/>
          <w:sz w:val="24"/>
          <w:szCs w:val="24"/>
        </w:rPr>
        <w:t xml:space="preserve">11.  Conduct</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The Officer will act honestly and in UniBlueprint's best interests, will comply with all applicable law, and will comply with the UniBlueprint Safeguarding and Code of Conduct Policy.</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The Officer will disclose promptly any conflict of interest, including any interest in a competitor, supplier, partner, or customer of UniBlueprint, and any role that could compete for their time or loyalty.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The Officer will not accept any gift, hospitality, commission, or benefit from any third party in connection with UniBlueprint's business beyond nominal business courtesy, and will declare anything received.</w:t>
      </w:r>
    </w:p>
    <w:p>
      <w:pPr>
        <w:tabs>
          <w:tab w:val="left" w:pos="720"/>
        </w:tabs>
        <w:spacing w:after="120"/>
        <w:ind w:left="720" w:hanging="720"/>
      </w:pPr>
      <w:r>
        <w:rPr>
          <w:rFonts w:ascii="Calibri" w:cs="Calibri" w:eastAsia="Calibri" w:hAnsi="Calibri"/>
          <w:sz w:val="22"/>
          <w:szCs w:val="22"/>
        </w:rPr>
        <w:t xml:space="preserve">11.4</w:t>
      </w:r>
      <w:r>
        <w:rPr>
          <w:rFonts w:ascii="Calibri" w:cs="Calibri" w:eastAsia="Calibri" w:hAnsi="Calibri"/>
          <w:sz w:val="22"/>
          <w:szCs w:val="22"/>
        </w:rPr>
        <w:t xml:space="preserve">	The Officer will not bring UniBlueprint into disrepute and will not make any public statement on UniBlueprint's behalf without authority.</w:t>
      </w:r>
    </w:p>
    <w:p>
      <w:pPr>
        <w:keepNext/>
        <w:spacing w:after="120" w:before="280"/>
      </w:pPr>
      <w:r>
        <w:rPr>
          <w:rFonts w:ascii="Calibri" w:cs="Calibri" w:eastAsia="Calibri" w:hAnsi="Calibri"/>
          <w:b/>
          <w:bCs/>
          <w:color w:val="1E3A5F"/>
          <w:sz w:val="24"/>
          <w:szCs w:val="24"/>
        </w:rPr>
        <w:t xml:space="preserve">12.  Non-solicitation</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For twelve (12) months after termination the Officer will not deliberately solicit away from UniBlueprint any person who was, in the twelve (12) months before termination, a UniBlueprint partner, coach, handler, or team member with whom the Officer personally dealt.</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This clause does not prevent the Officer from working for a competitor, from responding to an approach they did not solicit, from placing a general advertisement, or from dealing with anyone they knew independently of UniBlueprint. Nothing in this Agreement is intended to restrain the Officer's trade beyond what is necessary to protect UniBlueprint's legitimate business interests.</w:t>
      </w:r>
    </w:p>
    <w:p>
      <w:pPr>
        <w:keepNext/>
        <w:spacing w:after="120" w:before="280"/>
      </w:pPr>
      <w:r>
        <w:rPr>
          <w:rFonts w:ascii="Calibri" w:cs="Calibri" w:eastAsia="Calibri" w:hAnsi="Calibri"/>
          <w:b/>
          <w:bCs/>
          <w:color w:val="1E3A5F"/>
          <w:sz w:val="24"/>
          <w:szCs w:val="24"/>
        </w:rPr>
        <w:t xml:space="preserve">13.  Termination</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Either party may terminate this Agreement on thirty (30) days' written notice.</w:t>
      </w:r>
    </w:p>
    <w:p>
      <w:pPr>
        <w:tabs>
          <w:tab w:val="left" w:pos="720"/>
        </w:tabs>
        <w:spacing w:after="120"/>
        <w:ind w:left="720" w:hanging="720"/>
      </w:pPr>
      <w:r>
        <w:rPr>
          <w:rFonts w:ascii="Calibri" w:cs="Calibri" w:eastAsia="Calibri" w:hAnsi="Calibri"/>
          <w:sz w:val="22"/>
          <w:szCs w:val="22"/>
        </w:rPr>
        <w:t xml:space="preserve">13.2</w:t>
      </w:r>
      <w:r>
        <w:rPr>
          <w:rFonts w:ascii="Calibri" w:cs="Calibri" w:eastAsia="Calibri" w:hAnsi="Calibri"/>
          <w:sz w:val="22"/>
          <w:szCs w:val="22"/>
        </w:rPr>
        <w:t xml:space="preserve">	UniBlueprint may terminate immediately if the Officer commits a material breach that is not remedied within fourteen (14) days of notice, breaches the confidentiality, data protection, intellectual property, or conduct clauses, is convicted of an offence relevant to the role, or becomes insolvent.</w:t>
      </w:r>
    </w:p>
    <w:p>
      <w:pPr>
        <w:tabs>
          <w:tab w:val="left" w:pos="720"/>
        </w:tabs>
        <w:spacing w:after="120"/>
        <w:ind w:left="720" w:hanging="720"/>
      </w:pPr>
      <w:r>
        <w:rPr>
          <w:rFonts w:ascii="Calibri" w:cs="Calibri" w:eastAsia="Calibri" w:hAnsi="Calibri"/>
          <w:sz w:val="22"/>
          <w:szCs w:val="22"/>
        </w:rPr>
        <w:t xml:space="preserve">13.3</w:t>
      </w:r>
      <w:r>
        <w:rPr>
          <w:rFonts w:ascii="Calibri" w:cs="Calibri" w:eastAsia="Calibri" w:hAnsi="Calibri"/>
          <w:sz w:val="22"/>
          <w:szCs w:val="22"/>
        </w:rPr>
        <w:t xml:space="preserve">	On termination the Officer will deliver up all UniBlueprint property, documents, and data, return all accounts and access credentials, and complete any work in progress as reasonably directed.</w:t>
      </w:r>
    </w:p>
    <w:p>
      <w:pPr>
        <w:tabs>
          <w:tab w:val="left" w:pos="720"/>
        </w:tabs>
        <w:spacing w:after="120"/>
        <w:ind w:left="720" w:hanging="720"/>
      </w:pPr>
      <w:r>
        <w:rPr>
          <w:rFonts w:ascii="Calibri" w:cs="Calibri" w:eastAsia="Calibri" w:hAnsi="Calibri"/>
          <w:sz w:val="22"/>
          <w:szCs w:val="22"/>
        </w:rPr>
        <w:t xml:space="preserve">13.4</w:t>
      </w:r>
      <w:r>
        <w:rPr>
          <w:rFonts w:ascii="Calibri" w:cs="Calibri" w:eastAsia="Calibri" w:hAnsi="Calibri"/>
          <w:sz w:val="22"/>
          <w:szCs w:val="22"/>
        </w:rPr>
        <w:t xml:space="preserve">	Amounts properly due for work completed and accepted before termination remain payable.</w:t>
      </w:r>
    </w:p>
    <w:p>
      <w:pPr>
        <w:keepNext/>
        <w:spacing w:after="120" w:before="280"/>
      </w:pPr>
      <w:r>
        <w:rPr>
          <w:rFonts w:ascii="Calibri" w:cs="Calibri" w:eastAsia="Calibri" w:hAnsi="Calibri"/>
          <w:b/>
          <w:bCs/>
          <w:color w:val="1E3A5F"/>
          <w:sz w:val="24"/>
          <w:szCs w:val="24"/>
        </w:rPr>
        <w:t xml:space="preserve">14.  General</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This Agreement, with its Schedules and the policies referred to in it, is the entire agreement between the parties on its subject matter.</w:t>
      </w:r>
    </w:p>
    <w:p>
      <w:pPr>
        <w:tabs>
          <w:tab w:val="left" w:pos="720"/>
        </w:tabs>
        <w:spacing w:after="120"/>
        <w:ind w:left="720" w:hanging="720"/>
      </w:pPr>
      <w:r>
        <w:rPr>
          <w:rFonts w:ascii="Calibri" w:cs="Calibri" w:eastAsia="Calibri" w:hAnsi="Calibri"/>
          <w:sz w:val="22"/>
          <w:szCs w:val="22"/>
        </w:rPr>
        <w:t xml:space="preserve">14.2</w:t>
      </w:r>
      <w:r>
        <w:rPr>
          <w:rFonts w:ascii="Calibri" w:cs="Calibri" w:eastAsia="Calibri" w:hAnsi="Calibri"/>
          <w:sz w:val="22"/>
          <w:szCs w:val="22"/>
        </w:rPr>
        <w:t xml:space="preserve">	Any variation must be in writing and signed by both parties.</w:t>
      </w:r>
    </w:p>
    <w:p>
      <w:pPr>
        <w:tabs>
          <w:tab w:val="left" w:pos="720"/>
        </w:tabs>
        <w:spacing w:after="120"/>
        <w:ind w:left="720" w:hanging="720"/>
      </w:pPr>
      <w:r>
        <w:rPr>
          <w:rFonts w:ascii="Calibri" w:cs="Calibri" w:eastAsia="Calibri" w:hAnsi="Calibri"/>
          <w:sz w:val="22"/>
          <w:szCs w:val="22"/>
        </w:rPr>
        <w:t xml:space="preserve">14.3</w:t>
      </w:r>
      <w:r>
        <w:rPr>
          <w:rFonts w:ascii="Calibri" w:cs="Calibri" w:eastAsia="Calibri" w:hAnsi="Calibri"/>
          <w:sz w:val="22"/>
          <w:szCs w:val="22"/>
        </w:rPr>
        <w:t xml:space="preserve">	The Officer may not assign this Agreement.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14.4</w:t>
      </w:r>
      <w:r>
        <w:rPr>
          <w:rFonts w:ascii="Calibri" w:cs="Calibri" w:eastAsia="Calibri" w:hAnsi="Calibri"/>
          <w:sz w:val="22"/>
          <w:szCs w:val="22"/>
        </w:rPr>
        <w:t xml:space="preserve">	If any provision is held unenforceable it is severed and the remainder continues in force. Where a restriction is held to be excessive, it applies with the minimum modification necessary to make it enforceable.</w:t>
      </w:r>
    </w:p>
    <w:p>
      <w:pPr>
        <w:tabs>
          <w:tab w:val="left" w:pos="720"/>
        </w:tabs>
        <w:spacing w:after="120"/>
        <w:ind w:left="720" w:hanging="720"/>
      </w:pPr>
      <w:r>
        <w:rPr>
          <w:rFonts w:ascii="Calibri" w:cs="Calibri" w:eastAsia="Calibri" w:hAnsi="Calibri"/>
          <w:sz w:val="22"/>
          <w:szCs w:val="22"/>
        </w:rPr>
        <w:t xml:space="preserve">14.5</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14.6</w:t>
      </w:r>
      <w:r>
        <w:rPr>
          <w:rFonts w:ascii="Calibri" w:cs="Calibri" w:eastAsia="Calibri" w:hAnsi="Calibri"/>
          <w:sz w:val="22"/>
          <w:szCs w:val="22"/>
        </w:rPr>
        <w:t xml:space="preserve">	Notices must be in writing to the email addresses in the Schedules.</w:t>
      </w:r>
    </w:p>
    <w:p>
      <w:pPr>
        <w:tabs>
          <w:tab w:val="left" w:pos="720"/>
        </w:tabs>
        <w:spacing w:after="120"/>
        <w:ind w:left="720" w:hanging="720"/>
      </w:pPr>
      <w:r>
        <w:rPr>
          <w:rFonts w:ascii="Calibri" w:cs="Calibri" w:eastAsia="Calibri" w:hAnsi="Calibri"/>
          <w:sz w:val="22"/>
          <w:szCs w:val="22"/>
        </w:rPr>
        <w:t xml:space="preserve">14.7</w:t>
      </w:r>
      <w:r>
        <w:rPr>
          <w:rFonts w:ascii="Calibri" w:cs="Calibri" w:eastAsia="Calibri" w:hAnsi="Calibri"/>
          <w:sz w:val="22"/>
          <w:szCs w:val="22"/>
        </w:rPr>
        <w:t xml:space="preserve">	This Agreement is governed by the laws of Ireland and the parties submit to the exclusive jurisdiction of the courts of Ireland.</w:t>
      </w:r>
    </w:p>
    <w:p>
      <w:pPr>
        <w:keepNext/>
        <w:spacing w:after="120" w:before="280"/>
      </w:pPr>
      <w:r>
        <w:rPr>
          <w:rFonts w:ascii="Calibri" w:cs="Calibri" w:eastAsia="Calibri" w:hAnsi="Calibri"/>
          <w:b/>
          <w:bCs/>
          <w:color w:val="1E3A5F"/>
          <w:sz w:val="24"/>
          <w:szCs w:val="24"/>
        </w:rPr>
        <w:t xml:space="preserve">Schedule 1: Professional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Qualification</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[e.g. ACCA / CPA / part-qualified / finance student]</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Member of a recognised body?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body and number / NO]</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Professional indemnity insurance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[YES: insurer, limit / NO]</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May be described externally as</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"Finance Lead": not "accountant"]</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External accountant engaged</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[FIRM NAME]</w:t>
            </w:r>
          </w:p>
        </w:tc>
      </w:tr>
    </w:tbl>
    <w:p>
      <w:pPr>
        <w:keepNext/>
        <w:spacing w:after="120" w:before="280"/>
      </w:pPr>
      <w:r>
        <w:rPr>
          <w:rFonts w:ascii="Calibri" w:cs="Calibri" w:eastAsia="Calibri" w:hAnsi="Calibri"/>
          <w:b/>
          <w:bCs/>
          <w:color w:val="1E3A5F"/>
          <w:sz w:val="24"/>
          <w:szCs w:val="24"/>
        </w:rPr>
        <w:t xml:space="preserve">Schedule 2: Remuneration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this before signature</w:t>
            </w:r>
          </w:p>
          <w:p>
            <w:r>
              <w:rPr>
                <w:rFonts w:ascii="Calibri" w:cs="Calibri" w:eastAsia="Calibri" w:hAnsi="Calibri"/>
                <w:color w:val="78350F"/>
                <w:sz w:val="20"/>
                <w:szCs w:val="20"/>
              </w:rPr>
              <w:t xml:space="preserve">Fill in the actual basis. If nothing is payable yet, say so expressly. A blank schedule creates a dispute about whether anything was owed.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04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Basis</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[monthly retainer / hourly / per period / deferred / none initially]</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Amount</w:t>
            </w:r>
          </w:p>
        </w:tc>
        <w:tc>
          <w:tcPr>
            <w:tcW w:type="dxa" w:w="504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per [period / hour]</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Hours (if applicable)</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per month</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trigger</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first €X revenue / funding round]</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Deferred element: amount</w:t>
            </w:r>
          </w:p>
        </w:tc>
        <w:tc>
          <w:tcPr>
            <w:tcW w:type="dxa" w:w="504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€[AMOUNT] or [X]%</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Deferred element: longstop date</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 payable by this date regardless]</w:t>
            </w:r>
          </w:p>
        </w:tc>
      </w:tr>
      <w:tr>
        <w:tc>
          <w:tcPr>
            <w:tcW w:type="dxa" w:w="4320"/>
            <w:tcMar>
              <w:top w:type="dxa" w:w="80"/>
              <w:left w:type="dxa" w:w="120"/>
              <w:bottom w:type="dxa" w:w="80"/>
              <w:right w:type="dxa" w:w="120"/>
            </w:tcMar>
          </w:tcPr>
          <w:p>
            <w:r>
              <w:rPr>
                <w:rFonts w:ascii="Calibri" w:cs="Calibri" w:eastAsia="Calibri" w:hAnsi="Calibri"/>
                <w:b w:val="false"/>
                <w:bCs w:val="false"/>
                <w:sz w:val="20"/>
                <w:szCs w:val="20"/>
              </w:rPr>
              <w:t xml:space="preserve">Equity (if any)</w:t>
            </w:r>
          </w:p>
        </w:tc>
        <w:tc>
          <w:tcPr>
            <w:tcW w:type="dxa" w:w="5040"/>
            <w:tcMar>
              <w:top w:type="dxa" w:w="80"/>
              <w:left w:type="dxa" w:w="120"/>
              <w:bottom w:type="dxa" w:w="80"/>
              <w:right w:type="dxa" w:w="120"/>
            </w:tcMar>
          </w:tcPr>
          <w:p>
            <w:r>
              <w:rPr>
                <w:rFonts w:ascii="Calibri" w:cs="Calibri" w:eastAsia="Calibri" w:hAnsi="Calibri"/>
                <w:b w:val="false"/>
                <w:bCs w:val="false"/>
                <w:sz w:val="20"/>
                <w:szCs w:val="20"/>
              </w:rPr>
              <w:t xml:space="preserve">[NUMBER] shares / [X]%: separate documentation required</w:t>
            </w:r>
          </w:p>
        </w:tc>
      </w:tr>
      <w:tr>
        <w:tc>
          <w:tcPr>
            <w:tcW w:type="dxa" w:w="43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Approved by</w:t>
            </w:r>
          </w:p>
        </w:tc>
        <w:tc>
          <w:tcPr>
            <w:tcW w:type="dxa" w:w="504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Founder: [NAME], [DATE]</w:t>
            </w:r>
          </w:p>
        </w:tc>
      </w:tr>
    </w:tbl>
    <w:p>
      <w:pPr>
        <w:keepNext/>
        <w:spacing w:after="120" w:before="280"/>
      </w:pPr>
      <w:r>
        <w:rPr>
          <w:rFonts w:ascii="Calibri" w:cs="Calibri" w:eastAsia="Calibri" w:hAnsi="Calibri"/>
          <w:b/>
          <w:bCs/>
          <w:color w:val="1E3A5F"/>
          <w:sz w:val="24"/>
          <w:szCs w:val="24"/>
        </w:rPr>
        <w:t xml:space="preserve">Schedule 3: Officer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Bank account name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[NAME]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[IBAN]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Tax reference (PPSN / VAT)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[NUMBER]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UniBlueprint contact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Signed by the Officer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UBP-FINANCE-v1.0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Finance Officer Agreement</dc:title>
  <dc:creator>UniBlueprint</dc:creator>
  <dc:description>UniBlueprint Finance Officer Agreement</dc:description>
  <cp:lastModifiedBy>Un-named</cp:lastModifiedBy>
  <cp:revision>1</cp:revision>
  <dcterms:created xsi:type="dcterms:W3CDTF">2026-08-09T10:20:42.314Z</dcterms:created>
  <dcterms:modified xsi:type="dcterms:W3CDTF">2026-08-09T10:20:42.314Z</dcterms:modified>
</cp:coreProperties>
</file>

<file path=docProps/custom.xml><?xml version="1.0" encoding="utf-8"?>
<Properties xmlns="http://schemas.openxmlformats.org/officeDocument/2006/custom-properties" xmlns:vt="http://schemas.openxmlformats.org/officeDocument/2006/docPropsVTypes"/>
</file>