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Founder Service Agreement</w:t>
      </w:r>
    </w:p>
    <w:p>
      <w:pPr>
        <w:pBdr>
          <w:bottom w:val="single" w:color="BFBFBF" w:sz="6" w:space="8"/>
        </w:pBdr>
        <w:spacing w:after="300"/>
      </w:pPr>
      <w:r>
        <w:rPr>
          <w:rFonts w:ascii="Calibri" w:cs="Calibri" w:eastAsia="Calibri" w:hAnsi="Calibri"/>
          <w:color w:val="595959"/>
          <w:sz w:val="22"/>
          <w:szCs w:val="22"/>
        </w:rPr>
        <w:t xml:space="preserve">Founder, director, and intellectual property assignment</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to be incorporated / incorporated in Ireland (registered number [COMPANY NUMBER]) whose registered office is at [REGISTERED OFFICE] (the "Company").</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[FOUNDER FULL NAME] of [ADDRESS], date of birth [DOB] (the "Founder").</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Sign this one first, and sign it even if nothing else gets signed</w:t>
            </w:r>
          </w:p>
          <w:p>
            <w:r>
              <w:rPr>
                <w:rFonts w:ascii="Calibri" w:cs="Calibri" w:eastAsia="Calibri" w:hAnsi="Calibri"/>
                <w:color w:val="78350F"/>
                <w:sz w:val="20"/>
                <w:szCs w:val="20"/>
              </w:rPr>
              <w:t xml:space="preserve">Clause 6 assigns to the Company everything already built: the website, the app, the UniBlueprint name and brand, designs, copy, and data. Until that assignment exists in writing, those assets belong to the Founder personally, not the Company. Every investor, grant body, and acquirer will ask for this document. If the Company is not yet incorporated, clause 2 handles it.</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The Founder conceived UniBlueprint and has, before the date of this Agreement, personally created or commissioned the UniBlueprint brand, website, mobile application, designs, written content, and business materials (together, the "Pre-Existing Assets").</w:t>
      </w:r>
    </w:p>
    <w:p>
      <w:pPr>
        <w:spacing w:after="120"/>
      </w:pPr>
      <w:r>
        <w:rPr>
          <w:rFonts w:ascii="Calibri" w:cs="Calibri" w:eastAsia="Calibri" w:hAnsi="Calibri"/>
          <w:b w:val="false"/>
          <w:bCs w:val="false"/>
          <w:i w:val="false"/>
          <w:iCs w:val="false"/>
          <w:sz w:val="22"/>
          <w:szCs w:val="22"/>
        </w:rPr>
        <w:t xml:space="preserve">B.  The Company is being formed, or has been formed, to carry on the UniBlueprint business.</w:t>
      </w:r>
    </w:p>
    <w:p>
      <w:pPr>
        <w:spacing w:after="120"/>
      </w:pPr>
      <w:r>
        <w:rPr>
          <w:rFonts w:ascii="Calibri" w:cs="Calibri" w:eastAsia="Calibri" w:hAnsi="Calibri"/>
          <w:b w:val="false"/>
          <w:bCs w:val="false"/>
          <w:i w:val="false"/>
          <w:iCs w:val="false"/>
          <w:sz w:val="22"/>
          <w:szCs w:val="22"/>
        </w:rPr>
        <w:t xml:space="preserve">C.  The parties wish to record the Founder's role, to transfer the Pre-Existing Assets to the Company, and to set out how the Founder's shares vest.</w:t>
      </w:r>
    </w:p>
    <w:p>
      <w:pPr>
        <w:keepNext/>
        <w:spacing w:after="120" w:before="280"/>
      </w:pPr>
      <w:r>
        <w:rPr>
          <w:rFonts w:ascii="Calibri" w:cs="Calibri" w:eastAsia="Calibri" w:hAnsi="Calibri"/>
          <w:b/>
          <w:bCs/>
          <w:color w:val="1E3A5F"/>
          <w:sz w:val="24"/>
          <w:szCs w:val="24"/>
        </w:rPr>
        <w:t xml:space="preserve">1.  Definitions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In this Agreement: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"Board" means the board of directors of the Company.</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"Cliff Date" means the first anniversary of the Start Date.</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"Founder Shares" means the shares in the Company issued or to be issued to the Founder, as recorded in Schedule 2.</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"Good Leaver" means the Founder ceasing to provide services by reason of death, permanent incapacity, or termination by the Company other than for Cause.</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"Bad Leaver" means the Founder ceasing to provide services by resignation before the fourth anniversary of the Start Date, or termination by the Company for Cause.</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"Cause" means material breach of this Agreement not remedied within fourteen (14) days, dishonesty or fraud, conviction of an indictable offence, or conduct seriously damaging to the Company.</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"Start Date" means [START DATE].</w:t>
      </w:r>
    </w:p>
    <w:p>
      <w:pPr>
        <w:keepNext/>
        <w:spacing w:after="120" w:before="280"/>
      </w:pPr>
      <w:r>
        <w:rPr>
          <w:rFonts w:ascii="Calibri" w:cs="Calibri" w:eastAsia="Calibri" w:hAnsi="Calibri"/>
          <w:b/>
          <w:bCs/>
          <w:color w:val="1E3A5F"/>
          <w:sz w:val="24"/>
          <w:szCs w:val="24"/>
        </w:rPr>
        <w:t xml:space="preserve">2.  Pre-incorporation</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Where this Agreement is entered into before the Company is incorporated, the Founder enters into it both personally and for and on behalf of the Company to be formed.</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The Company will, within thirty (30) days of incorporation, ratify this Agreement by board resolution in accordance with section 45 of the Companies Act 2014, and this Agreement will then take effect between the Company and the Founder as if the Company had been a party from the date first written above.</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Until ratification the Founder is not personally liable to any third party under this Agreement beyond what the law requires.</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If the Company is not incorporated within twelve (12) months of the date of this Agreement, either party may terminate it by written notice, and the assignment in clause 6 does not take effect.</w:t>
      </w:r>
    </w:p>
    <w:p>
      <w:pPr>
        <w:keepNext/>
        <w:spacing w:after="120" w:before="280"/>
      </w:pPr>
      <w:r>
        <w:rPr>
          <w:rFonts w:ascii="Calibri" w:cs="Calibri" w:eastAsia="Calibri" w:hAnsi="Calibri"/>
          <w:b/>
          <w:bCs/>
          <w:color w:val="1E3A5F"/>
          <w:sz w:val="24"/>
          <w:szCs w:val="24"/>
        </w:rPr>
        <w:t xml:space="preserve">3.  Role</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Founder is appointed as [Founder and Chief Executive / Founder and Managing Director] of the Company with effect from the Start Date.</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Founder's responsibilities are set out in Schedule 1 and include setting the Company's strategy and direction, leading product and brand, building and leading the team, managing partner and institutional relationships, and representing the Company externally.</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Founder will devote such time to the Company as is reasonably necessary, being not less than [NUMBER] hours per week, and will use reasonable skill, care, and diligence.</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The Founder may continue in full-time education and may hold other interests, provided they do not compete with the Company and do not materially interfere with the Founder's obligations. The Founder's existing interests are disclosed in Schedule 3.</w:t>
      </w:r>
    </w:p>
    <w:p>
      <w:pPr>
        <w:tabs>
          <w:tab w:val="left" w:pos="720"/>
        </w:tabs>
        <w:spacing w:after="120"/>
        <w:ind w:left="720" w:hanging="720"/>
      </w:pPr>
      <w:r>
        <w:rPr>
          <w:rFonts w:ascii="Calibri" w:cs="Calibri" w:eastAsia="Calibri" w:hAnsi="Calibri"/>
          <w:sz w:val="22"/>
          <w:szCs w:val="22"/>
        </w:rPr>
        <w:t xml:space="preserve">3.5</w:t>
      </w:r>
      <w:r>
        <w:rPr>
          <w:rFonts w:ascii="Calibri" w:cs="Calibri" w:eastAsia="Calibri" w:hAnsi="Calibri"/>
          <w:sz w:val="22"/>
          <w:szCs w:val="22"/>
        </w:rPr>
        <w:t xml:space="preserve">	The Founder will comply with the Company's constitution, any shareholders' agreement, and all applicable law.</w:t>
      </w:r>
    </w:p>
    <w:p>
      <w:pPr>
        <w:keepNext/>
        <w:spacing w:after="120" w:before="280"/>
      </w:pPr>
      <w:r>
        <w:rPr>
          <w:rFonts w:ascii="Calibri" w:cs="Calibri" w:eastAsia="Calibri" w:hAnsi="Calibri"/>
          <w:b/>
          <w:bCs/>
          <w:color w:val="1E3A5F"/>
          <w:sz w:val="24"/>
          <w:szCs w:val="24"/>
        </w:rPr>
        <w:t xml:space="preserve">4.  Director duties</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Where the Founder is appointed a director, the Founder will comply with the duties of a director under section 228 of the Companies Act 2014, including to act in good faith in what the Founder considers to be the interests of the Company, to act honestly and responsibly, to act in accordance with the constitution and exercise powers only for lawful purposes, not to benefit or use Company property for the Founder or anyone else unless approved, not to fetter their discretion, to avoid conflicts of interest, to exercise care skill and diligence, and to have regard to the interests of members and employees.</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Founder will comply with the Company's obligations under the Companies Act 2014 in relation to registers, filings, and returns, and will ensure adequate accounting records are kept under section 281.</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The Founder will not, without Board approval, enter the Company into any transaction outside the ordinary course of business, any commitment exceeding €[THRESHOLD], any borrowing, any grant of security, or any transaction in which the Founder has a personal interest.</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Resignation or removal as a director does not of itself terminate this Agreement, and termination of this Agreement does not of itself remove the Founder as a director.</w:t>
      </w:r>
    </w:p>
    <w:p>
      <w:pPr>
        <w:keepNext/>
        <w:spacing w:after="120" w:before="280"/>
      </w:pPr>
      <w:r>
        <w:rPr>
          <w:rFonts w:ascii="Calibri" w:cs="Calibri" w:eastAsia="Calibri" w:hAnsi="Calibri"/>
          <w:b/>
          <w:bCs/>
          <w:color w:val="1E3A5F"/>
          <w:sz w:val="24"/>
          <w:szCs w:val="24"/>
        </w:rPr>
        <w:t xml:space="preserve">5.  Remuneration</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Founder's remuneration is set out in Schedule 2. Where Schedule 2 records that no remuneration is payable, the Founder acknowledges that they provide services without payment and that no debt accrues, unless the Board resolves otherwise.</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Board may resolve to pay the Founder a salary or fee once the Company has sufficient resources. Any such payment must be approved by the Board and recorded.</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The Company will reimburse expenses properly and necessarily incurred on Company business, on production of receipts, in accordance with any expenses policy.</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Where any remuneration becomes payable, the Company will operate PAYE, PRSI, and USC as required, or the Founder will account for tax as a self-employed person, depending on the basis recorded in Schedule 2.</w:t>
      </w:r>
    </w:p>
    <w:p>
      <w:pPr>
        <w:keepNext/>
        <w:spacing w:after="120" w:before="280"/>
      </w:pPr>
      <w:r>
        <w:rPr>
          <w:rFonts w:ascii="Calibri" w:cs="Calibri" w:eastAsia="Calibri" w:hAnsi="Calibri"/>
          <w:b/>
          <w:bCs/>
          <w:color w:val="1E3A5F"/>
          <w:sz w:val="24"/>
          <w:szCs w:val="24"/>
        </w:rPr>
        <w:t xml:space="preserve">6.  Assignment of the Pre-Existing Assets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The Founder assigns to the Company, with full title guarantee and free of all encumbrances, all right, title, and interest in the Pre-Existing Assets and all intellectual property in them, throughout the world and for the full term of those rights, including all rights of action for past infringement.</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Pre-Existing Assets include, without limitation:</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the name "UniBlueprint", the "UBP" mark, all logos, wordmarks, and brand assets, and all goodwill in them;</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the source code, designs, and content of the UniBlueprint website and mobile application;</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all written copy, policies, service descriptions, and marketing materials;</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all designs, illustrations, photographs, and video created for or used by UniBlueprint;</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all domain names, social media accounts and handles, and app store listings;</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all databases, member records, partner records, and business data; and</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all business plans, financial models, and know-how relating to the business.</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The Founder waives all moral rights in the Pre-Existing Assets so far as the law allows.</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The Founder will, at the Company's cost, sign any further document and do anything else reasonably required to perfect the assignment, including any assignment required by a domain registrar, app store, or intellectual property registry. This obligation continues after termination.</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The Founder warrants that they own the Pre-Existing Assets, that they are free to assign them, that no third party has any claim to them, and that they do not infringe any third party right. Where any element was created by a third party, the Founder has obtained a written assignment or will procure one.</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All intellectual property the Founder creates on or after the Start Date in connection with the Company's business belongs to the Company, and clause 6.1 applies to it as if it were a Pre-Existing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Third-party contributions need their own assignment</w:t>
            </w:r>
          </w:p>
          <w:p>
            <w:r>
              <w:rPr>
                <w:rFonts w:ascii="Calibri" w:cs="Calibri" w:eastAsia="Calibri" w:hAnsi="Calibri"/>
                <w:color w:val="78350F"/>
                <w:sz w:val="20"/>
                <w:szCs w:val="20"/>
              </w:rPr>
              <w:t xml:space="preserve">If anyone else wrote code, drew a logo, took photographs, or wrote copy for UniBlueprint, clause 6.5 is not satisfied by this document alone. Each of those people must sign the standalone IP Assignment Deed (document 12) covering what they made. Do this before any investor due diligence.</w:t>
            </w:r>
          </w:p>
        </w:tc>
      </w:tr>
    </w:tbl>
    <w:p>
      <w:pPr>
        <w:keepNext/>
        <w:spacing w:after="120" w:before="280"/>
      </w:pPr>
      <w:r>
        <w:rPr>
          <w:rFonts w:ascii="Calibri" w:cs="Calibri" w:eastAsia="Calibri" w:hAnsi="Calibri"/>
          <w:b/>
          <w:bCs/>
          <w:color w:val="1E3A5F"/>
          <w:sz w:val="24"/>
          <w:szCs w:val="24"/>
        </w:rPr>
        <w:t xml:space="preserve">7.  Founder Shares and vesting</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The Founder holds or will be issued the Founder Shares set out in Schedule 2.</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The Founder Shares vest over four (4) years from the Start Date as follows: twenty-five per cent (25%) vests on the Cliff Date, and the remainder vests in equal monthly instalments over the following thirty-six (36) months.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If the Founder ceases to provide services before the Cliff Date, no Founder Shares vest and all Founder Shares are subject to transfer under clause 7.5.</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If the Founder ceases to provide services after the Cliff Date, the Founder retains the vested portion and the unvested portion is subject to transfer under clause 7.5.</w:t>
      </w:r>
    </w:p>
    <w:p>
      <w:pPr>
        <w:tabs>
          <w:tab w:val="left" w:pos="720"/>
        </w:tabs>
        <w:spacing w:after="120"/>
        <w:ind w:left="720" w:hanging="720"/>
      </w:pPr>
      <w:r>
        <w:rPr>
          <w:rFonts w:ascii="Calibri" w:cs="Calibri" w:eastAsia="Calibri" w:hAnsi="Calibri"/>
          <w:sz w:val="22"/>
          <w:szCs w:val="22"/>
        </w:rPr>
        <w:t xml:space="preserve">7.5</w:t>
      </w:r>
      <w:r>
        <w:rPr>
          <w:rFonts w:ascii="Calibri" w:cs="Calibri" w:eastAsia="Calibri" w:hAnsi="Calibri"/>
          <w:sz w:val="22"/>
          <w:szCs w:val="22"/>
        </w:rPr>
        <w:t xml:space="preserve">	On a leaver event the Company or its nominee may require the transfer of the relevant Founder Shares:</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where the Founder is a Good Leaver, at fair market value as determined by the Company's auditors acting as experts;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where the Founder is a Bad Leaver, at the lower of the subscription price paid and fair market value.</w:t>
      </w:r>
    </w:p>
    <w:p>
      <w:pPr>
        <w:tabs>
          <w:tab w:val="left" w:pos="720"/>
        </w:tabs>
        <w:spacing w:after="120"/>
        <w:ind w:left="720" w:hanging="720"/>
      </w:pPr>
      <w:r>
        <w:rPr>
          <w:rFonts w:ascii="Calibri" w:cs="Calibri" w:eastAsia="Calibri" w:hAnsi="Calibri"/>
          <w:sz w:val="22"/>
          <w:szCs w:val="22"/>
        </w:rPr>
        <w:t xml:space="preserve">7.6</w:t>
      </w:r>
      <w:r>
        <w:rPr>
          <w:rFonts w:ascii="Calibri" w:cs="Calibri" w:eastAsia="Calibri" w:hAnsi="Calibri"/>
          <w:sz w:val="22"/>
          <w:szCs w:val="22"/>
        </w:rPr>
        <w:t xml:space="preserve">	On a sale of the Company or a listing, all unvested Founder Shares vest in full immediately before completion.</w:t>
      </w:r>
    </w:p>
    <w:p>
      <w:pPr>
        <w:tabs>
          <w:tab w:val="left" w:pos="720"/>
        </w:tabs>
        <w:spacing w:after="120"/>
        <w:ind w:left="720" w:hanging="720"/>
      </w:pPr>
      <w:r>
        <w:rPr>
          <w:rFonts w:ascii="Calibri" w:cs="Calibri" w:eastAsia="Calibri" w:hAnsi="Calibri"/>
          <w:sz w:val="22"/>
          <w:szCs w:val="22"/>
        </w:rPr>
        <w:t xml:space="preserve">7.7</w:t>
      </w:r>
      <w:r>
        <w:rPr>
          <w:rFonts w:ascii="Calibri" w:cs="Calibri" w:eastAsia="Calibri" w:hAnsi="Calibri"/>
          <w:sz w:val="22"/>
          <w:szCs w:val="22"/>
        </w:rPr>
        <w:t xml:space="preserve">	This clause is subject to any shareholders' agreement, which prevails in the event of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Vesting protects the Founder too</w:t>
            </w:r>
          </w:p>
          <w:p>
            <w:r>
              <w:rPr>
                <w:rFonts w:ascii="Calibri" w:cs="Calibri" w:eastAsia="Calibri" w:hAnsi="Calibri"/>
                <w:color w:val="78350F"/>
                <w:sz w:val="20"/>
                <w:szCs w:val="20"/>
              </w:rPr>
              <w:t xml:space="preserve">Vesting is not only an investor protection. It is what stops an early co-founder who leaves after two months from keeping a large block of the company. Fill Schedule 2 with the actual share numbers before signing, and take tax advice on the share issue before it happens, not after.</w:t>
            </w:r>
          </w:p>
        </w:tc>
      </w:tr>
    </w:tbl>
    <w:p>
      <w:pPr>
        <w:keepNext/>
        <w:spacing w:after="120" w:before="280"/>
      </w:pPr>
      <w:r>
        <w:rPr>
          <w:rFonts w:ascii="Calibri" w:cs="Calibri" w:eastAsia="Calibri" w:hAnsi="Calibri"/>
          <w:b/>
          <w:bCs/>
          <w:color w:val="1E3A5F"/>
          <w:sz w:val="24"/>
          <w:szCs w:val="24"/>
        </w:rPr>
        <w:t xml:space="preserve">8.  Confidentiality</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Founder will keep confidential all information relating to the Company's business, and will not use it other than for the Company's benefit, during this Agreement and after it ends.</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This does not prevent a protected disclosure under the Protected Disclosures Act 2014 or any disclosure required by law.</w:t>
      </w:r>
    </w:p>
    <w:p>
      <w:pPr>
        <w:keepNext/>
        <w:spacing w:after="120" w:before="280"/>
      </w:pPr>
      <w:r>
        <w:rPr>
          <w:rFonts w:ascii="Calibri" w:cs="Calibri" w:eastAsia="Calibri" w:hAnsi="Calibri"/>
          <w:b/>
          <w:bCs/>
          <w:color w:val="1E3A5F"/>
          <w:sz w:val="24"/>
          <w:szCs w:val="24"/>
        </w:rPr>
        <w:t xml:space="preserve">9.  Restrictions</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While providing services and for twelve (12) months afterwards, the Founder will not: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carry on or be engaged in any business in Ireland that competes directly with the Company's business as carried on at the date of termination;</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solicit any partner, coach, handler, or team member of the Company with whom the Founder dealt in the twelve (12) months before termination; or</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solicit any member or customer of the Company for a competing service.</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These restrictions are limited to what is reasonably necessary to protect the Company's legitimate business interests. If any is held excessive, it applies with the minimum modification necessary to make it enforceable.</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Nothing in clause 9.1 prevents the Founder from holding not more than three per cent (3%) of a listed company, or from continuing any interest disclosed in Schedule 3.</w:t>
      </w:r>
    </w:p>
    <w:p>
      <w:pPr>
        <w:keepNext/>
        <w:spacing w:after="120" w:before="280"/>
      </w:pPr>
      <w:r>
        <w:rPr>
          <w:rFonts w:ascii="Calibri" w:cs="Calibri" w:eastAsia="Calibri" w:hAnsi="Calibri"/>
          <w:b/>
          <w:bCs/>
          <w:color w:val="1E3A5F"/>
          <w:sz w:val="24"/>
          <w:szCs w:val="24"/>
        </w:rPr>
        <w:t xml:space="preserve">10.  Termination</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This Agreement continues until terminated.</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Either party may terminate on three (3) months' written notice.</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The Company may terminate immediately for Cause.</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On termination the Founder will deliver up all Company property, data, and credentials, and will resign as a director if the Board so requests.</w:t>
      </w:r>
    </w:p>
    <w:p>
      <w:pPr>
        <w:tabs>
          <w:tab w:val="left" w:pos="720"/>
        </w:tabs>
        <w:spacing w:after="120"/>
        <w:ind w:left="720" w:hanging="720"/>
      </w:pPr>
      <w:r>
        <w:rPr>
          <w:rFonts w:ascii="Calibri" w:cs="Calibri" w:eastAsia="Calibri" w:hAnsi="Calibri"/>
          <w:sz w:val="22"/>
          <w:szCs w:val="22"/>
        </w:rPr>
        <w:t xml:space="preserve">10.5</w:t>
      </w:r>
      <w:r>
        <w:rPr>
          <w:rFonts w:ascii="Calibri" w:cs="Calibri" w:eastAsia="Calibri" w:hAnsi="Calibri"/>
          <w:sz w:val="22"/>
          <w:szCs w:val="22"/>
        </w:rPr>
        <w:t xml:space="preserve">	Clauses 6, 7, 8, 9, and 11 survive termination.</w:t>
      </w:r>
    </w:p>
    <w:p>
      <w:pPr>
        <w:keepNext/>
        <w:spacing w:after="120" w:before="280"/>
      </w:pPr>
      <w:r>
        <w:rPr>
          <w:rFonts w:ascii="Calibri" w:cs="Calibri" w:eastAsia="Calibri" w:hAnsi="Calibri"/>
          <w:b/>
          <w:bCs/>
          <w:color w:val="1E3A5F"/>
          <w:sz w:val="24"/>
          <w:szCs w:val="24"/>
        </w:rPr>
        <w:t xml:space="preserve">11.  General</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This Agreement, with its Schedules, is the entire agreement between the parties on its subject matter, subject to any shareholders' agreement.</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Any variation must be in writing and signed.</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The Founder may not assign this Agreement.</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If any provision is held unenforceable it is severed and the remainder continues.</w:t>
      </w:r>
    </w:p>
    <w:p>
      <w:pPr>
        <w:tabs>
          <w:tab w:val="left" w:pos="720"/>
        </w:tabs>
        <w:spacing w:after="120"/>
        <w:ind w:left="720" w:hanging="720"/>
      </w:pPr>
      <w:r>
        <w:rPr>
          <w:rFonts w:ascii="Calibri" w:cs="Calibri" w:eastAsia="Calibri" w:hAnsi="Calibri"/>
          <w:sz w:val="22"/>
          <w:szCs w:val="22"/>
        </w:rPr>
        <w:t xml:space="preserve">11.5</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Role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6686"/>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c>
          <w:tcPr>
            <w:tcW w:type="dxa" w:w="2674"/>
            <w:tcMar>
              <w:top w:type="dxa" w:w="80"/>
              <w:left w:type="dxa" w:w="120"/>
              <w:bottom w:type="dxa" w:w="80"/>
              <w:right w:type="dxa" w:w="120"/>
            </w:tcMar>
          </w:tcPr>
          <w:p>
            <w:r>
              <w:rPr>
                <w:rFonts w:ascii="Calibri" w:cs="Calibri" w:eastAsia="Calibri" w:hAnsi="Calibri"/>
                <w:b w:val="false"/>
                <w:bCs w:val="false"/>
                <w:sz w:val="20"/>
                <w:szCs w:val="20"/>
              </w:rPr>
              <w:t xml:space="preserve">Strategy</w:t>
            </w:r>
          </w:p>
        </w:tc>
        <w:tc>
          <w:tcPr>
            <w:tcW w:type="dxa" w:w="6686"/>
            <w:tcMar>
              <w:top w:type="dxa" w:w="80"/>
              <w:left w:type="dxa" w:w="120"/>
              <w:bottom w:type="dxa" w:w="80"/>
              <w:right w:type="dxa" w:w="120"/>
            </w:tcMar>
          </w:tcPr>
          <w:p>
            <w:r>
              <w:rPr>
                <w:rFonts w:ascii="Calibri" w:cs="Calibri" w:eastAsia="Calibri" w:hAnsi="Calibri"/>
                <w:b w:val="false"/>
                <w:bCs w:val="false"/>
                <w:sz w:val="20"/>
                <w:szCs w:val="20"/>
              </w:rPr>
              <w:t xml:space="preserve">Set direction, priorities, and the roadmap</w:t>
            </w:r>
          </w:p>
        </w:tc>
      </w:tr>
      <w:tr>
        <w:tc>
          <w:tcPr>
            <w:tcW w:type="dxa" w:w="267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Product and brand</w:t>
            </w:r>
          </w:p>
        </w:tc>
        <w:tc>
          <w:tcPr>
            <w:tcW w:type="dxa" w:w="6686"/>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Own the product, design, and brand across web and app</w:t>
            </w:r>
          </w:p>
        </w:tc>
      </w:tr>
      <w:tr>
        <w:tc>
          <w:tcPr>
            <w:tcW w:type="dxa" w:w="2674"/>
            <w:tcMar>
              <w:top w:type="dxa" w:w="80"/>
              <w:left w:type="dxa" w:w="120"/>
              <w:bottom w:type="dxa" w:w="80"/>
              <w:right w:type="dxa" w:w="120"/>
            </w:tcMar>
          </w:tcPr>
          <w:p>
            <w:r>
              <w:rPr>
                <w:rFonts w:ascii="Calibri" w:cs="Calibri" w:eastAsia="Calibri" w:hAnsi="Calibri"/>
                <w:b w:val="false"/>
                <w:bCs w:val="false"/>
                <w:sz w:val="20"/>
                <w:szCs w:val="20"/>
              </w:rPr>
              <w:t xml:space="preserve">Team</w:t>
            </w:r>
          </w:p>
        </w:tc>
        <w:tc>
          <w:tcPr>
            <w:tcW w:type="dxa" w:w="6686"/>
            <w:tcMar>
              <w:top w:type="dxa" w:w="80"/>
              <w:left w:type="dxa" w:w="120"/>
              <w:bottom w:type="dxa" w:w="80"/>
              <w:right w:type="dxa" w:w="120"/>
            </w:tcMar>
          </w:tcPr>
          <w:p>
            <w:r>
              <w:rPr>
                <w:rFonts w:ascii="Calibri" w:cs="Calibri" w:eastAsia="Calibri" w:hAnsi="Calibri"/>
                <w:b w:val="false"/>
                <w:bCs w:val="false"/>
                <w:sz w:val="20"/>
                <w:szCs w:val="20"/>
              </w:rPr>
              <w:t xml:space="preserve">Recruit, contract with, and lead handlers, coaches, ambassadors, and internal team</w:t>
            </w:r>
          </w:p>
        </w:tc>
      </w:tr>
      <w:tr>
        <w:tc>
          <w:tcPr>
            <w:tcW w:type="dxa" w:w="267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Partnerships</w:t>
            </w:r>
          </w:p>
        </w:tc>
        <w:tc>
          <w:tcPr>
            <w:tcW w:type="dxa" w:w="6686"/>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Own partner and institutional relationships</w:t>
            </w:r>
          </w:p>
        </w:tc>
      </w:tr>
      <w:tr>
        <w:tc>
          <w:tcPr>
            <w:tcW w:type="dxa" w:w="2674"/>
            <w:tcMar>
              <w:top w:type="dxa" w:w="80"/>
              <w:left w:type="dxa" w:w="120"/>
              <w:bottom w:type="dxa" w:w="80"/>
              <w:right w:type="dxa" w:w="120"/>
            </w:tcMar>
          </w:tcPr>
          <w:p>
            <w:r>
              <w:rPr>
                <w:rFonts w:ascii="Calibri" w:cs="Calibri" w:eastAsia="Calibri" w:hAnsi="Calibri"/>
                <w:b w:val="false"/>
                <w:bCs w:val="false"/>
                <w:sz w:val="20"/>
                <w:szCs w:val="20"/>
              </w:rPr>
              <w:t xml:space="preserve">Finance</w:t>
            </w:r>
          </w:p>
        </w:tc>
        <w:tc>
          <w:tcPr>
            <w:tcW w:type="dxa" w:w="6686"/>
            <w:tcMar>
              <w:top w:type="dxa" w:w="80"/>
              <w:left w:type="dxa" w:w="120"/>
              <w:bottom w:type="dxa" w:w="80"/>
              <w:right w:type="dxa" w:w="120"/>
            </w:tcMar>
          </w:tcPr>
          <w:p>
            <w:r>
              <w:rPr>
                <w:rFonts w:ascii="Calibri" w:cs="Calibri" w:eastAsia="Calibri" w:hAnsi="Calibri"/>
                <w:b w:val="false"/>
                <w:bCs w:val="false"/>
                <w:sz w:val="20"/>
                <w:szCs w:val="20"/>
              </w:rPr>
              <w:t xml:space="preserve">Oversee budget, pricing, and spend with the Finance Officer</w:t>
            </w:r>
          </w:p>
        </w:tc>
      </w:tr>
      <w:tr>
        <w:tc>
          <w:tcPr>
            <w:tcW w:type="dxa" w:w="267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Compliance</w:t>
            </w:r>
          </w:p>
        </w:tc>
        <w:tc>
          <w:tcPr>
            <w:tcW w:type="dxa" w:w="6686"/>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Ensure GDPR, consumer, and safeguarding obligations are met</w:t>
            </w:r>
          </w:p>
        </w:tc>
      </w:tr>
      <w:tr>
        <w:tc>
          <w:tcPr>
            <w:tcW w:type="dxa" w:w="2674"/>
            <w:tcMar>
              <w:top w:type="dxa" w:w="80"/>
              <w:left w:type="dxa" w:w="120"/>
              <w:bottom w:type="dxa" w:w="80"/>
              <w:right w:type="dxa" w:w="120"/>
            </w:tcMar>
          </w:tcPr>
          <w:p>
            <w:r>
              <w:rPr>
                <w:rFonts w:ascii="Calibri" w:cs="Calibri" w:eastAsia="Calibri" w:hAnsi="Calibri"/>
                <w:b w:val="false"/>
                <w:bCs w:val="false"/>
                <w:sz w:val="20"/>
                <w:szCs w:val="20"/>
              </w:rPr>
              <w:t xml:space="preserve">External</w:t>
            </w:r>
          </w:p>
        </w:tc>
        <w:tc>
          <w:tcPr>
            <w:tcW w:type="dxa" w:w="6686"/>
            <w:tcMar>
              <w:top w:type="dxa" w:w="80"/>
              <w:left w:type="dxa" w:w="120"/>
              <w:bottom w:type="dxa" w:w="80"/>
              <w:right w:type="dxa" w:w="120"/>
            </w:tcMar>
          </w:tcPr>
          <w:p>
            <w:r>
              <w:rPr>
                <w:rFonts w:ascii="Calibri" w:cs="Calibri" w:eastAsia="Calibri" w:hAnsi="Calibri"/>
                <w:b w:val="false"/>
                <w:bCs w:val="false"/>
                <w:sz w:val="20"/>
                <w:szCs w:val="20"/>
              </w:rPr>
              <w:t xml:space="preserve">Represent the Company to investors, media, and institutions</w:t>
            </w:r>
          </w:p>
        </w:tc>
      </w:tr>
    </w:tbl>
    <w:p>
      <w:pPr>
        <w:keepNext/>
        <w:spacing w:after="120" w:before="280"/>
      </w:pPr>
      <w:r>
        <w:rPr>
          <w:rFonts w:ascii="Calibri" w:cs="Calibri" w:eastAsia="Calibri" w:hAnsi="Calibri"/>
          <w:b/>
          <w:bCs/>
          <w:color w:val="1E3A5F"/>
          <w:sz w:val="24"/>
          <w:szCs w:val="24"/>
        </w:rPr>
        <w:t xml:space="preserve">Schedule 2: Shares and remuneration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Founder Shares: number</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[NUMBER]</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Founder Shares: class</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Ordinary]</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Percentage on a fully diluted basis</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[X]%</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Subscription price paid</w:t>
            </w:r>
          </w:p>
        </w:tc>
        <w:tc>
          <w:tcPr>
            <w:tcW w:type="dxa" w:w="50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Start Date (vesting commencement)</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[DATE]</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Vesting</w:t>
            </w:r>
          </w:p>
        </w:tc>
        <w:tc>
          <w:tcPr>
            <w:tcW w:type="dxa" w:w="50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4 years, 12-month cliff, monthly thereafter</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Remuneration</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[None initially / €[AMOUNT] per [period]]</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Basis if paid</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[PAYE employment / self-employed fee]</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Board approval date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[DATE]</w:t>
            </w:r>
          </w:p>
        </w:tc>
      </w:tr>
    </w:tbl>
    <w:p>
      <w:pPr>
        <w:keepNext/>
        <w:spacing w:after="120" w:before="280"/>
      </w:pPr>
      <w:r>
        <w:rPr>
          <w:rFonts w:ascii="Calibri" w:cs="Calibri" w:eastAsia="Calibri" w:hAnsi="Calibri"/>
          <w:b/>
          <w:bCs/>
          <w:color w:val="1E3A5F"/>
          <w:sz w:val="24"/>
          <w:szCs w:val="24"/>
        </w:rPr>
        <w:t xml:space="preserve">Schedule 3: Disclosed outside interests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4"/>
        <w:gridCol w:w="3854"/>
        <w:gridCol w:w="2202"/>
      </w:tblGrid>
      <w:tr>
        <w:trPr>
          <w:tblHeader/>
        </w:trPr>
        <w:tc>
          <w:tcPr>
            <w:tcW w:type="dxa" w:w="330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Interest</w:t>
            </w:r>
          </w:p>
        </w:tc>
        <w:tc>
          <w:tcPr>
            <w:tcW w:type="dxa" w:w="385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Nature</w:t>
            </w:r>
          </w:p>
        </w:tc>
        <w:tc>
          <w:tcPr>
            <w:tcW w:type="dxa" w:w="2202"/>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Time commitment</w:t>
            </w:r>
          </w:p>
        </w:tc>
      </w:tr>
      <w:tr>
        <w:tc>
          <w:tcPr>
            <w:tcW w:type="dxa" w:w="3304"/>
            <w:tcMar>
              <w:top w:type="dxa" w:w="80"/>
              <w:left w:type="dxa" w:w="120"/>
              <w:bottom w:type="dxa" w:w="80"/>
              <w:right w:type="dxa" w:w="120"/>
            </w:tcMar>
          </w:tcPr>
          <w:p>
            <w:r>
              <w:rPr>
                <w:rFonts w:ascii="Calibri" w:cs="Calibri" w:eastAsia="Calibri" w:hAnsi="Calibri"/>
                <w:b w:val="false"/>
                <w:bCs w:val="false"/>
                <w:sz w:val="20"/>
                <w:szCs w:val="20"/>
              </w:rPr>
              <w:t xml:space="preserve">[e.g. full-time study]</w:t>
            </w:r>
          </w:p>
        </w:tc>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[DETAIL]</w:t>
            </w:r>
          </w:p>
        </w:tc>
        <w:tc>
          <w:tcPr>
            <w:tcW w:type="dxa" w:w="2202"/>
            <w:tcMar>
              <w:top w:type="dxa" w:w="80"/>
              <w:left w:type="dxa" w:w="120"/>
              <w:bottom w:type="dxa" w:w="80"/>
              <w:right w:type="dxa" w:w="120"/>
            </w:tcMar>
          </w:tcPr>
          <w:p>
            <w:r>
              <w:rPr>
                <w:rFonts w:ascii="Calibri" w:cs="Calibri" w:eastAsia="Calibri" w:hAnsi="Calibri"/>
                <w:b w:val="false"/>
                <w:bCs w:val="false"/>
                <w:sz w:val="20"/>
                <w:szCs w:val="20"/>
              </w:rPr>
              <w:t xml:space="preserve">[HOURS]</w:t>
            </w:r>
          </w:p>
        </w:tc>
      </w:tr>
      <w:tr>
        <w:tc>
          <w:tcPr>
            <w:tcW w:type="dxa" w:w="330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[OTHER]</w:t>
            </w:r>
          </w:p>
        </w:tc>
        <w:tc>
          <w:tcPr>
            <w:tcW w:type="dxa" w:w="385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[DETAIL]</w:t>
            </w:r>
          </w:p>
        </w:tc>
        <w:tc>
          <w:tcPr>
            <w:tcW w:type="dxa" w:w="2202"/>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[HOURS]</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 Clause 6 operates as an assignment of intellectual property and is executed as a deed.</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and delivered as a deed by the Founder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20" w:before="200"/>
      </w:pPr>
      <w:r>
        <w:rPr>
          <w:rFonts w:ascii="Calibri" w:cs="Calibri" w:eastAsia="Calibri" w:hAnsi="Calibri"/>
          <w:b/>
          <w:bCs/>
          <w:sz w:val="22"/>
          <w:szCs w:val="22"/>
        </w:rPr>
        <w:t xml:space="preserve">In the presence of (witness):</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Witness 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Witness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Witness address</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UBP-FOUNDER-v1.0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Founder Service Agreement</dc:title>
  <dc:creator>UniBlueprint</dc:creator>
  <dc:description>UniBlueprint Founder Service Agreement</dc:description>
  <cp:lastModifiedBy>Un-named</cp:lastModifiedBy>
  <cp:revision>1</cp:revision>
  <dcterms:created xsi:type="dcterms:W3CDTF">2026-09-19T13:50:03.214Z</dcterms:created>
  <dcterms:modified xsi:type="dcterms:W3CDTF">2026-09-19T13:50:03.214Z</dcterms:modified>
</cp:coreProperties>
</file>

<file path=docProps/custom.xml><?xml version="1.0" encoding="utf-8"?>
<Properties xmlns="http://schemas.openxmlformats.org/officeDocument/2006/custom-properties" xmlns:vt="http://schemas.openxmlformats.org/officeDocument/2006/docPropsVTypes"/>
</file>