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Legal Counsel Agreement</w:t>
      </w:r>
    </w:p>
    <w:p>
      <w:pPr>
        <w:pBdr>
          <w:bottom w:val="single" w:color="BFBFBF" w:sz="6" w:space="8"/>
        </w:pBdr>
        <w:spacing w:after="300"/>
      </w:pPr>
      <w:r>
        <w:rPr>
          <w:rFonts w:ascii="Calibri" w:cs="Calibri" w:eastAsia="Calibri" w:hAnsi="Calibri"/>
          <w:color w:val="595959"/>
          <w:sz w:val="22"/>
          <w:szCs w:val="22"/>
        </w:rPr>
        <w:t xml:space="preserve">Legal and compliance function</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[COUNSEL FULL NAME] of [ADDRESS] (the "Counsel",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Check qualification status before issuing</w:t>
            </w:r>
          </w:p>
          <w:p>
            <w:r>
              <w:rPr>
                <w:rFonts w:ascii="Calibri" w:cs="Calibri" w:eastAsia="Calibri" w:hAnsi="Calibri"/>
                <w:color w:val="78350F"/>
                <w:sz w:val="20"/>
                <w:szCs w:val="20"/>
              </w:rPr>
              <w:t xml:space="preserve">If the Counsel is not a solicitor holding a practising certificate or a practising barrister, they must not be described internally or externally as UniBlueprint's "solicitor" or "lawyer", must not give advice held out as legal advice to third parties, and their work does not attract legal professional privilege. Clause 2 sets this out. Complete Schedule 1 honestly: mislabelling creates a Legal Services Regulation Act 2015 problem.</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support on contracts, compliance, data protection, and consumer law.</w:t>
      </w:r>
    </w:p>
    <w:p>
      <w:pPr>
        <w:spacing w:after="120"/>
      </w:pPr>
      <w:r>
        <w:rPr>
          <w:rFonts w:ascii="Calibri" w:cs="Calibri" w:eastAsia="Calibri" w:hAnsi="Calibri"/>
          <w:b w:val="false"/>
          <w:bCs w:val="false"/>
          <w:i w:val="false"/>
          <w:iCs w:val="false"/>
          <w:sz w:val="22"/>
          <w:szCs w:val="22"/>
        </w:rPr>
        <w:t xml:space="preserve">B.  The Counsel will provide that support and will work jointly with the Finance Officer on the payment and commercial control matters set out in clause 5.</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Counsel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draft, review, and maintain UniBlueprint's contracts, including partner, coach, handler, ambassador, and team agreements;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maintain the website and app legal documents, being the Terms of Service, Privacy Policy, Cookie Policy, Refund Policy, and Accessibility Statement, and keep them consistent with what the product actually does;</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support GDPR compliance, including the record of processing activities, data subject request handling, retention schedules, processor terms, and breach response;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support consumer law compliance, including the Consumer Rights Act 2022, distance selling and cooling-off requirements, and advertising rules;</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maintain the contract register and the register of signed agreements;</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support the safeguarding framework, including Garda vetting processes under the National Vetting Bureau (Children and Vulnerable Persons) Acts 2012 to 2016;</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flag matters requiring external professional advice; and</w:t>
      </w:r>
    </w:p>
    <w:p>
      <w:pPr>
        <w:tabs>
          <w:tab w:val="left" w:pos="1440"/>
        </w:tabs>
        <w:spacing w:after="80"/>
        <w:ind w:left="1440" w:hanging="360"/>
      </w:pPr>
      <w:r>
        <w:rPr>
          <w:rFonts w:ascii="Calibri" w:cs="Calibri" w:eastAsia="Calibri" w:hAnsi="Calibri"/>
          <w:sz w:val="22"/>
          <w:szCs w:val="22"/>
        </w:rPr>
        <w:t xml:space="preserve">(h)</w:t>
      </w:r>
      <w:r>
        <w:rPr>
          <w:rFonts w:ascii="Calibri" w:cs="Calibri" w:eastAsia="Calibri" w:hAnsi="Calibri"/>
          <w:sz w:val="22"/>
          <w:szCs w:val="22"/>
        </w:rPr>
        <w:t xml:space="preserve">	work with the Finance Officer under clause 5.</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Counsel will maintain a risk register and report material legal or compliance risk to the Founder promptly.</w:t>
      </w:r>
    </w:p>
    <w:p>
      <w:pPr>
        <w:keepNext/>
        <w:spacing w:after="120" w:before="280"/>
      </w:pPr>
      <w:r>
        <w:rPr>
          <w:rFonts w:ascii="Calibri" w:cs="Calibri" w:eastAsia="Calibri" w:hAnsi="Calibri"/>
          <w:b/>
          <w:bCs/>
          <w:color w:val="1E3A5F"/>
          <w:sz w:val="24"/>
          <w:szCs w:val="24"/>
        </w:rPr>
        <w:t xml:space="preserve">2.  Scope and limits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Counsel's professional status is recorded in Schedule 1.</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Where the Counsel is not a solicitor holding a current practising certificate or a practising barrister:</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the Counsel provides internal business support, not regulated legal services;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neither party will describe the Counsel as UniBlueprint's solicitor, lawyer, or legal adviser to any third party;</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the Counsel will not give legal advice to any member, partner, coach, or other third party; and</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the parties acknowledge that communications may not attract legal professional privilege.</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Counsel will identify matters that require a qualified external solicitor and will not attempt to handle them internally. These include litigation, court filings, conveyancing, probate, regulatory investigation, and any matter where UniBlueprint's exposure is material.</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UniBlueprint will instruct external solicitors where the Counsel recommends it or where the matter falls within clause 2.3.</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The Counsel does not warrant any particular legal outcome and is not liable for a matter properly escalated under clause 2.3 that UniBlueprint chose not to escalate.</w:t>
      </w:r>
    </w:p>
    <w:p>
      <w:pPr>
        <w:keepNext/>
        <w:spacing w:after="120" w:before="280"/>
      </w:pPr>
      <w:r>
        <w:rPr>
          <w:rFonts w:ascii="Calibri" w:cs="Calibri" w:eastAsia="Calibri" w:hAnsi="Calibri"/>
          <w:b/>
          <w:bCs/>
          <w:color w:val="1E3A5F"/>
          <w:sz w:val="24"/>
          <w:szCs w:val="24"/>
        </w:rPr>
        <w:t xml:space="preserve">3.  Independence</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Counsel will give candid advice and will not withhold or soften an assessment of legal risk because it is commercially unwelcome.</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Where UniBlueprint proceeds against the Counsel's written advice, the Counsel will record that fact and is not responsible for the consequences.</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Counsel may escalate any unresolved compliance concern directly to the Founder and, once constituted, to the board.</w:t>
      </w:r>
    </w:p>
    <w:p>
      <w:pPr>
        <w:keepNext/>
        <w:spacing w:after="120" w:before="280"/>
      </w:pPr>
      <w:r>
        <w:rPr>
          <w:rFonts w:ascii="Calibri" w:cs="Calibri" w:eastAsia="Calibri" w:hAnsi="Calibri"/>
          <w:b/>
          <w:bCs/>
          <w:color w:val="1E3A5F"/>
          <w:sz w:val="24"/>
          <w:szCs w:val="24"/>
        </w:rPr>
        <w:t xml:space="preserve">4.  Conflicts</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Counsel will disclose any interest in, or engagement with, any partner, coach, competitor, or counterparty of UniBlueprint before working on a matter involving them.</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Counsel will not act for both UniBlueprint and any counterparty in the same matter.</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Where the Counsel has a personal interest in a decision, they will withdraw from it.</w:t>
      </w:r>
    </w:p>
    <w:p>
      <w:pPr>
        <w:keepNext/>
        <w:spacing w:after="120" w:before="280"/>
      </w:pPr>
      <w:r>
        <w:rPr>
          <w:rFonts w:ascii="Calibri" w:cs="Calibri" w:eastAsia="Calibri" w:hAnsi="Calibri"/>
          <w:b/>
          <w:bCs/>
          <w:color w:val="1E3A5F"/>
          <w:sz w:val="24"/>
          <w:szCs w:val="24"/>
        </w:rPr>
        <w:t xml:space="preserve">5.  Joint working with Finance</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Counsel and the Finance Officer operate as a joint control function over UniBlueprint's commercial commitments and payments.</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Together they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ensure no payment is made and no commitment entered into without a signed agreement or approved purchase authority behind it;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maintain a single register linking each signed agreement to its payment terms, so that what is paid matches what was agreed;</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review partner, coach, handler, and contributor payment runs before release;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agree the commission, fee, and revenue-share calculations applied under each agreement, including the coach revenue share, outreach commission, and handler service fees;</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operate the dual-authorisation control in clause 5.3;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report jointly to the Founder each month on committed spend, amounts due, and any mismatch between contract and payment.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Dual authorisation. Any single payment or commitment exceeding €[THRESHOLD] requires the approval of both the Counsel and the Finance Officer, recorded in writing, in addition to any approval required from the Founder. Neither may approve a payment in which they have a personal interest.</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Where the Counsel and the Finance Officer disagree, the matter is referred to the Founder, whose decision is recorded with both positions noted.</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remuneration of the Counsel and the Finance Officer is set out in Schedule 2 of each of their agreements. Neither may set, approve, or vary their own remuneration or that of the other. Any change to either requires the Founder's written approval and, once constituted, board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Do not let this function pay itself</w:t>
            </w:r>
          </w:p>
          <w:p>
            <w:r>
              <w:rPr>
                <w:rFonts w:ascii="Calibri" w:cs="Calibri" w:eastAsia="Calibri" w:hAnsi="Calibri"/>
                <w:color w:val="78350F"/>
                <w:sz w:val="20"/>
                <w:szCs w:val="20"/>
              </w:rPr>
              <w:t xml:space="preserve">Clause 5.5 exists because a joint legal-and-finance function that also sets its own pay is the classic small-company control failure. Keep remuneration decisions with the Founder or the board, always in writing.</w:t>
            </w:r>
          </w:p>
        </w:tc>
      </w:tr>
    </w:tbl>
    <w:p>
      <w:pPr>
        <w:keepNext/>
        <w:spacing w:after="120" w:before="280"/>
      </w:pPr>
      <w:r>
        <w:rPr>
          <w:rFonts w:ascii="Calibri" w:cs="Calibri" w:eastAsia="Calibri" w:hAnsi="Calibri"/>
          <w:b/>
          <w:bCs/>
          <w:color w:val="1E3A5F"/>
          <w:sz w:val="24"/>
          <w:szCs w:val="24"/>
        </w:rPr>
        <w:t xml:space="preserve">6.  Status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Counsel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Counsel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UniBlueprint is not obliged to offer work and the Counsel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Counsel is responsible for their own income tax, USC, PRSI, and VAT, and will register with the Revenue Commissioners as required. The Counsel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Counsel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Counsel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created by the Counsel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Counsel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Counsel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Counsel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Where the Work Product incorporates material the Counsel owned before this Agreement or created independently of it ("Background IP"), the Counsel retains ownership of that Background IP and grants UniBlueprint a perpetual, irrevocable, worldwide, royalty-free licence to use it as part of the Work Product. The Counsel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The Counsel warrants that the Work Product is original, does not infringe any third party right, and that any third party material included is properly licensed and identified. The Counsel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8.  Remuneration</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Counsel is remunerated as set out in Schedule 2.</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Where Schedule 2 records a deferred or contingent arrangement, the trigger, the amount, and the longstop date must all be stated. An arrangement expressed only as "to be agreed" is not payable.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Invoices are submitted monthly and paid within thirty (30) days.</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The Counsel may not approve their own invoice. Invoices are approved by the Founder.</w:t>
      </w:r>
    </w:p>
    <w:p>
      <w:pPr>
        <w:keepNext/>
        <w:spacing w:after="120" w:before="280"/>
      </w:pPr>
      <w:r>
        <w:rPr>
          <w:rFonts w:ascii="Calibri" w:cs="Calibri" w:eastAsia="Calibri" w:hAnsi="Calibri"/>
          <w:b/>
          <w:bCs/>
          <w:color w:val="1E3A5F"/>
          <w:sz w:val="24"/>
          <w:szCs w:val="24"/>
        </w:rPr>
        <w:t xml:space="preserve">9.  Confidentiality</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Counsel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This obligation does not apply to information that is public through no fault of the Counsel, that the Counsel already lawfully held, or that must be disclosed by law. Where disclosure is required by law the Counsel will notify UniBlueprint first where lawful to do so.</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Nothing in this Agreement prevents the Counsel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10.  Data protection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Where the Counsel processes personal data on UniBlueprint's behalf, the Counsel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Counsel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Counsel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On termination the Counsel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11.  Conduct</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The Counsel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The Counsel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Counsel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The Counsel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12.  Non-solicitation</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For twelve (12) months after termination the Counsel will not deliberately solicit away from UniBlueprint any person who was, in the twelve (12) months before termination, a UniBlueprint partner, coach, handler, or team member with whom the Counsel personally dealt.</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This clause does not prevent the Counsel from working for a competitor, from responding to an approach they did not solicit, from placing a general advertisement, or from dealing with anyone they knew independently of UniBlueprint. Nothing in this Agreement is intended to restrain the Counsel's trade beyond what is necessary to protect UniBlueprint's legitimate business interests.</w:t>
      </w:r>
    </w:p>
    <w:p>
      <w:pPr>
        <w:keepNext/>
        <w:spacing w:after="120" w:before="280"/>
      </w:pPr>
      <w:r>
        <w:rPr>
          <w:rFonts w:ascii="Calibri" w:cs="Calibri" w:eastAsia="Calibri" w:hAnsi="Calibri"/>
          <w:b/>
          <w:bCs/>
          <w:color w:val="1E3A5F"/>
          <w:sz w:val="24"/>
          <w:szCs w:val="24"/>
        </w:rPr>
        <w:t xml:space="preserve">13.  Termination</w:t>
      </w:r>
    </w:p>
    <w:p>
      <w:pPr>
        <w:tabs>
          <w:tab w:val="left" w:pos="720"/>
        </w:tabs>
        <w:spacing w:after="120"/>
        <w:ind w:left="720" w:hanging="720"/>
      </w:pPr>
      <w:r>
        <w:rPr>
          <w:rFonts w:ascii="Calibri" w:cs="Calibri" w:eastAsia="Calibri" w:hAnsi="Calibri"/>
          <w:sz w:val="22"/>
          <w:szCs w:val="22"/>
        </w:rPr>
        <w:t xml:space="preserve">13.1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 xml:space="preserve">13.2</w:t>
      </w:r>
      <w:r>
        <w:rPr>
          <w:rFonts w:ascii="Calibri" w:cs="Calibri" w:eastAsia="Calibri" w:hAnsi="Calibri"/>
          <w:sz w:val="22"/>
          <w:szCs w:val="22"/>
        </w:rPr>
        <w:t xml:space="preserve">	UniBlueprint may terminate immediately if the Counsel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 xml:space="preserve">13.3</w:t>
      </w:r>
      <w:r>
        <w:rPr>
          <w:rFonts w:ascii="Calibri" w:cs="Calibri" w:eastAsia="Calibri" w:hAnsi="Calibri"/>
          <w:sz w:val="22"/>
          <w:szCs w:val="22"/>
        </w:rPr>
        <w:t xml:space="preserve">	On termination the Counsel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 xml:space="preserve">13.4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 xml:space="preserve">14.  General</w:t>
      </w:r>
    </w:p>
    <w:p>
      <w:pPr>
        <w:tabs>
          <w:tab w:val="left" w:pos="720"/>
        </w:tabs>
        <w:spacing w:after="120"/>
        <w:ind w:left="720" w:hanging="720"/>
      </w:pPr>
      <w:r>
        <w:rPr>
          <w:rFonts w:ascii="Calibri" w:cs="Calibri" w:eastAsia="Calibri" w:hAnsi="Calibri"/>
          <w:sz w:val="22"/>
          <w:szCs w:val="22"/>
        </w:rPr>
        <w:t xml:space="preserve">14.1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14.2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 xml:space="preserve">14.3</w:t>
      </w:r>
      <w:r>
        <w:rPr>
          <w:rFonts w:ascii="Calibri" w:cs="Calibri" w:eastAsia="Calibri" w:hAnsi="Calibri"/>
          <w:sz w:val="22"/>
          <w:szCs w:val="22"/>
        </w:rPr>
        <w:t xml:space="preserve">	The Counsel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14.4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14.5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14.6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 xml:space="preserve">14.7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Professional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Qualification</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LL.B / solicitor / barrister / law student]</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Practising certificate held?</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number / NO]</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Regulated by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[Legal Services Regulatory Authority / Law Society / not regulated]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Professional indemnity insurance</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insurer, limit / NO]</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May be described externally as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"Legal and Compliance Lead": not "solicitor"]</w:t>
            </w:r>
          </w:p>
        </w:tc>
      </w:tr>
    </w:tbl>
    <w:p>
      <w:pPr>
        <w:keepNext/>
        <w:spacing w:after="120" w:before="280"/>
      </w:pPr>
      <w:r>
        <w:rPr>
          <w:rFonts w:ascii="Calibri" w:cs="Calibri" w:eastAsia="Calibri" w:hAnsi="Calibri"/>
          <w:b/>
          <w:bCs/>
          <w:color w:val="1E3A5F"/>
          <w:sz w:val="24"/>
          <w:szCs w:val="24"/>
        </w:rPr>
        <w:t xml:space="preserve">Schedule 2: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Complete this before signature</w:t>
            </w:r>
          </w:p>
          <w:p>
            <w:r>
              <w:rPr>
                <w:rFonts w:ascii="Calibri" w:cs="Calibri" w:eastAsia="Calibri" w:hAnsi="Calibri"/>
                <w:color w:val="78350F"/>
                <w:sz w:val="20"/>
                <w:szCs w:val="20"/>
              </w:rPr>
              <w:t xml:space="preserve">Fill in the actual basis. If nothing is payable yet, say so expressly. A blank schedule creates a dispute about whether anything was owed.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[monthly retainer / hourly / per matter / deferred / none initially]</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[period / hour / matter]</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Hours (if applicable)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per month</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trigger</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first €X revenue / funding round]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amount</w:t>
            </w:r>
          </w:p>
        </w:tc>
        <w:tc>
          <w:tcPr>
            <w:tcW w:type="dxa" w:w="504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longstop date</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 payable by this date regardless]</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Equity (if any)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shares / [X]%: separate documentation required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Approved by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Founder: [NAME], [DATE]</w:t>
            </w:r>
          </w:p>
        </w:tc>
      </w:tr>
    </w:tbl>
    <w:p>
      <w:pPr>
        <w:keepNext/>
        <w:spacing w:after="120" w:before="280"/>
      </w:pPr>
      <w:r>
        <w:rPr>
          <w:rFonts w:ascii="Calibri" w:cs="Calibri" w:eastAsia="Calibri" w:hAnsi="Calibri"/>
          <w:b/>
          <w:bCs/>
          <w:color w:val="1E3A5F"/>
          <w:sz w:val="24"/>
          <w:szCs w:val="24"/>
        </w:rPr>
        <w:t xml:space="preserve">Schedule 3: Counsel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Counsel</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UBP-LEGAL-v1.0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Legal Counsel Agreement</dc:title>
  <dc:creator>UniBlueprint</dc:creator>
  <dc:description>UniBlueprint Legal Counsel Agreement</dc:description>
  <cp:lastModifiedBy>Un-named</cp:lastModifiedBy>
  <cp:revision>1</cp:revision>
  <dcterms:created xsi:type="dcterms:W3CDTF">2026-09-19T13:50:03.638Z</dcterms:created>
  <dcterms:modified xsi:type="dcterms:W3CDTF">2026-09-19T13:50:03.638Z</dcterms:modified>
</cp:coreProperties>
</file>

<file path=docProps/custom.xml><?xml version="1.0" encoding="utf-8"?>
<Properties xmlns="http://schemas.openxmlformats.org/officeDocument/2006/custom-properties" xmlns:vt="http://schemas.openxmlformats.org/officeDocument/2006/docPropsVTypes"/>
</file>