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Finance Officer Agreement</w:t>
      </w:r>
    </w:p>
    <w:p>
      <w:pPr>
        <w:pBdr>
          <w:bottom w:val="single" w:color="BFBFBF" w:sz="6" w:space="8"/>
        </w:pBdr>
        <w:spacing w:after="300"/>
      </w:pPr>
      <w:r>
        <w:rPr>
          <w:rFonts w:ascii="Calibri" w:cs="Calibri" w:eastAsia="Calibri" w:hAnsi="Calibri"/>
          <w:color w:val="595959"/>
          <w:sz w:val="22"/>
          <w:szCs w:val="22"/>
        </w:rPr>
        <w:t xml:space="preserve">Finance, payments, and controls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[OFFICER FULL NAME] of [ADDRESS] (the "Officer",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Statutory duty sits with the directors</w:t>
            </w:r>
          </w:p>
          <w:p>
            <w:r>
              <w:rPr>
                <w:rFonts w:ascii="Calibri" w:cs="Calibri" w:eastAsia="Calibri" w:hAnsi="Calibri"/>
                <w:color w:val="78350F"/>
                <w:sz w:val="20"/>
                <w:szCs w:val="20"/>
              </w:rPr>
              <w:t xml:space="preserve">Section 281 of the Companies Act 2014 places the duty to keep adequate accounting records on the company and its directors, and it cannot be delegated away. The Officer supports that duty; the Founder as director remains responsible for it. Clause 2.4 records this.</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support on bookkeeping, payments, budgeting, and financial controls.</w:t>
      </w:r>
    </w:p>
    <w:p>
      <w:pPr>
        <w:spacing w:after="120"/>
      </w:pPr>
      <w:r>
        <w:rPr>
          <w:rFonts w:ascii="Calibri" w:cs="Calibri" w:eastAsia="Calibri" w:hAnsi="Calibri"/>
          <w:b w:val="false"/>
          <w:bCs w:val="false"/>
          <w:i w:val="false"/>
          <w:iCs w:val="false"/>
          <w:sz w:val="22"/>
          <w:szCs w:val="22"/>
        </w:rPr>
        <w:t xml:space="preserve">B.  The Officer will provide that support and will work jointly with the Legal Counsel on the matters in clause 5.</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Officer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maintain the books and records, including sales, purchases, bank reconciliation, and expenses;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operate payment runs for coaches, handlers, contributors, and suppliers, in accordance with the applicable agreements;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calculate and verify the coach revenue share, handler service fees, outreach commission, and any other variable payment, and reconcile them to the underlying agreements;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raise and issue invoices to partners and manage collections;</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reconcile the payment processor account and the platform records, and investigate any difference;</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prepare monthly management figures, cash position, and runway;</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maintain the budget and report variances;</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prepare information for the external accountant, for Revenue filings, and for the annual return; and</w:t>
      </w:r>
    </w:p>
    <w:p>
      <w:pPr>
        <w:tabs>
          <w:tab w:val="left" w:pos="1440"/>
        </w:tabs>
        <w:spacing w:after="80"/>
        <w:ind w:left="1440" w:hanging="360"/>
      </w:pPr>
      <w:r>
        <w:rPr>
          <w:rFonts w:ascii="Calibri" w:cs="Calibri" w:eastAsia="Calibri" w:hAnsi="Calibri"/>
          <w:sz w:val="22"/>
          <w:szCs w:val="22"/>
        </w:rPr>
        <w:t xml:space="preserve">(i)</w:t>
      </w:r>
      <w:r>
        <w:rPr>
          <w:rFonts w:ascii="Calibri" w:cs="Calibri" w:eastAsia="Calibri" w:hAnsi="Calibri"/>
          <w:sz w:val="22"/>
          <w:szCs w:val="22"/>
        </w:rPr>
        <w:t xml:space="preserve">	work with the Legal Counsel under clause 5.</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Officer will maintain records in a form that allows the Company to comply with section 281 of the Companies Act 2014 and with Revenue record-keeping requirements, including retention of records for six (6) years.</w:t>
      </w:r>
    </w:p>
    <w:p>
      <w:pPr>
        <w:keepNext/>
        <w:spacing w:after="120" w:before="280"/>
      </w:pPr>
      <w:r>
        <w:rPr>
          <w:rFonts w:ascii="Calibri" w:cs="Calibri" w:eastAsia="Calibri" w:hAnsi="Calibri"/>
          <w:b/>
          <w:bCs/>
          <w:color w:val="1E3A5F"/>
          <w:sz w:val="24"/>
          <w:szCs w:val="24"/>
        </w:rPr>
        <w:t xml:space="preserve">2.  Scope and limits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Officer's professional status is recorded in Schedule 1.</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Where the Officer is not a member of a recognised accountancy body, neither party will describe the Officer as UniBlueprint's accountant or auditor to any third party, and the Officer will not sign or certify statutory financial statements.</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Officer will not act as auditor. Statutory accounts, tax returns, and any statutory filing requiring a qualified professional will be prepared or reviewed by an appropriately qualified external accountant.</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The duty to keep adequate accounting records under section 281 of the Companies Act 2014 rests with the Company and its directors. The Officer supports the discharge of that duty but does not assume it.</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The Officer does not provide tax advice, investment advice, or any service regulated under the Investment Intermediaries Act 1995 or the Central Bank Acts.</w:t>
      </w:r>
    </w:p>
    <w:p>
      <w:pPr>
        <w:keepNext/>
        <w:spacing w:after="120" w:before="280"/>
      </w:pPr>
      <w:r>
        <w:rPr>
          <w:rFonts w:ascii="Calibri" w:cs="Calibri" w:eastAsia="Calibri" w:hAnsi="Calibri"/>
          <w:b/>
          <w:bCs/>
          <w:color w:val="1E3A5F"/>
          <w:sz w:val="24"/>
          <w:szCs w:val="24"/>
        </w:rPr>
        <w:t xml:space="preserve">3.  Financial controls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Officer will operate and maintain the following controls:</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no payment without an approved invoice or an approved payment schedule and a matching signed agreement;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segregation between the person who approves a payment and the person who releases it;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bank reconciliation performed at least monthly;</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 register of recurring commitments and subscriptions, reviewed quarterly;</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verification of any change to a supplier's or contractor's bank details by direct contact using previously held details, never using details supplied in the change request;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a record of every payment approval, retained for six (6) years.</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Officer will report immediately to the Founder any suspected fraud, error, misappropriation, or material control failure.</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Officer will not release any payment that lacks a signed agreement or approved authority behind it, and will escalate rather than release.</w:t>
      </w:r>
    </w:p>
    <w:p>
      <w:pPr>
        <w:keepNext/>
        <w:spacing w:after="120" w:before="280"/>
      </w:pPr>
      <w:r>
        <w:rPr>
          <w:rFonts w:ascii="Calibri" w:cs="Calibri" w:eastAsia="Calibri" w:hAnsi="Calibri"/>
          <w:b/>
          <w:bCs/>
          <w:color w:val="1E3A5F"/>
          <w:sz w:val="24"/>
          <w:szCs w:val="24"/>
        </w:rPr>
        <w:t xml:space="preserve">4.  Handling of member and payment data</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Officer will access payment and member financial data only as necessary and only through UniBlueprint systems.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Officer will not store card data. Card processing is performed solely by UniBlueprint's payment processor, and UniBlueprint does not hold card numbers.</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Officer will comply with the retention schedule in the UniBlueprint Privacy Policy, under which payment records are retained for seven (7) years to meet Irish tax requirements.</w:t>
      </w:r>
    </w:p>
    <w:p>
      <w:pPr>
        <w:keepNext/>
        <w:spacing w:after="120" w:before="280"/>
      </w:pPr>
      <w:r>
        <w:rPr>
          <w:rFonts w:ascii="Calibri" w:cs="Calibri" w:eastAsia="Calibri" w:hAnsi="Calibri"/>
          <w:b/>
          <w:bCs/>
          <w:color w:val="1E3A5F"/>
          <w:sz w:val="24"/>
          <w:szCs w:val="24"/>
        </w:rPr>
        <w:t xml:space="preserve">5.  Joint working with Legal</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Officer and the Legal Counsel operate as a joint control function over UniBlueprint's commercial commitments and payments.</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Together they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ensure no payment is made and no commitment entered into without a signed agreement or approved purchase authority behind it;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maintain a single register linking each signed agreement to its payment terms;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review partner, coach, handler, and contributor payment runs before release;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agree the commission, fee, and revenue-share calculations applied under each agreement;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operate the dual-authorisation control in clause 5.3;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report jointly to the Founder each month on committed spend, amounts due, and any mismatch between contract and payment.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Dual authorisation. Any single payment or commitment exceeding €[THRESHOLD] requires the approval of both the Officer and the Legal Counsel, recorded in writing, in addition to any approval required from the Founder. Neither may approve a payment in which they have a personal interest.</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Where the Officer and the Legal Counsel disagree, the matter is referred to the Founder, whose decision is recorded with both positions noted.</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remuneration of the Officer and the Legal Counsel is set out in Schedule 2 of each of their agreements. Neither may set, approve, or vary their own remuneration or that of the other. Any change to either requires the Founder's written approval and, once constituted, board approval.</w:t>
      </w:r>
    </w:p>
    <w:p>
      <w:pPr>
        <w:keepNext/>
        <w:spacing w:after="120" w:before="280"/>
      </w:pPr>
      <w:r>
        <w:rPr>
          <w:rFonts w:ascii="Calibri" w:cs="Calibri" w:eastAsia="Calibri" w:hAnsi="Calibri"/>
          <w:b/>
          <w:bCs/>
          <w:color w:val="1E3A5F"/>
          <w:sz w:val="24"/>
          <w:szCs w:val="24"/>
        </w:rPr>
        <w:t xml:space="preserve">6.  Status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Officer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Officer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UniBlueprint is not obliged to offer work and the Officer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Officer is responsible for their own income tax, USC, PRSI, and VAT, and will register with the Revenue Commissioners as required. The Officer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Officer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Officer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created by the Officer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Officer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Officer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Officer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Where the Work Product incorporates material the Officer owned before this Agreement or created independently of it ("Background IP"), the Officer retains ownership of that Background IP and grants UniBlueprint a perpetual, irrevocable, worldwide, royalty-free licence to use it as part of the Work Product. The Officer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The Officer warrants that the Work Product is original, does not infringe any third party right, and that any third party material included is properly licensed and identified. The Officer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8.  Remuneration</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Officer is remunerated as set out in Schedule 2.</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Where Schedule 2 records a deferred or contingent arrangement, the trigger, the amount, and the longstop date must all be stated. An arrangement expressed only as "to be agreed" is not payable.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Invoices are submitted monthly and paid within thirty (30) days.</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The Officer may not approve or release their own payment. Their invoices are approved by the Founder and released by another authorised person.</w:t>
      </w:r>
    </w:p>
    <w:p>
      <w:pPr>
        <w:keepNext/>
        <w:spacing w:after="120" w:before="280"/>
      </w:pPr>
      <w:r>
        <w:rPr>
          <w:rFonts w:ascii="Calibri" w:cs="Calibri" w:eastAsia="Calibri" w:hAnsi="Calibri"/>
          <w:b/>
          <w:bCs/>
          <w:color w:val="1E3A5F"/>
          <w:sz w:val="24"/>
          <w:szCs w:val="24"/>
        </w:rPr>
        <w:t xml:space="preserve">9.  Confidentiality</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Officer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This obligation does not apply to information that is public through no fault of the Officer, that the Officer already lawfully held, or that must be disclosed by law. Where disclosure is required by law the Officer will notify UniBlueprint first where lawful to do so.</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Nothing in this Agreement prevents the Officer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10.  Data protection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Where the Officer processes personal data on UniBlueprint's behalf, the Officer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Officer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Officer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On termination the Officer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11.  Conduct</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The Officer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The Officer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Officer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The Officer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12.  Non-solicitation</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For twelve (12) months after termination the Officer will not deliberately solicit away from UniBlueprint any person who was, in the twelve (12) months before termination, a UniBlueprint partner, coach, handler, or team member with whom the Officer personally dealt.</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This clause does not prevent the Officer from working for a competitor, from responding to an approach they did not solicit, from placing a general advertisement, or from dealing with anyone they knew independently of UniBlueprint. Nothing in this Agreement is intended to restrain the Officer's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13.  Termination</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13.2</w:t>
      </w:r>
      <w:r>
        <w:rPr>
          <w:rFonts w:ascii="Calibri" w:cs="Calibri" w:eastAsia="Calibri" w:hAnsi="Calibri"/>
          <w:sz w:val="22"/>
          <w:szCs w:val="22"/>
        </w:rPr>
        <w:t xml:space="preserve">	UniBlueprint may terminate immediately if the Officer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13.3</w:t>
      </w:r>
      <w:r>
        <w:rPr>
          <w:rFonts w:ascii="Calibri" w:cs="Calibri" w:eastAsia="Calibri" w:hAnsi="Calibri"/>
          <w:sz w:val="22"/>
          <w:szCs w:val="22"/>
        </w:rPr>
        <w:t xml:space="preserve">	On termination the Officer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13.4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14.  General</w:t>
      </w:r>
    </w:p>
    <w:p>
      <w:pPr>
        <w:tabs>
          <w:tab w:val="left" w:pos="720"/>
        </w:tabs>
        <w:spacing w:after="120"/>
        <w:ind w:left="720" w:hanging="720"/>
      </w:pPr>
      <w:r>
        <w:rPr>
          <w:rFonts w:ascii="Calibri" w:cs="Calibri" w:eastAsia="Calibri" w:hAnsi="Calibri"/>
          <w:sz w:val="22"/>
          <w:szCs w:val="22"/>
        </w:rPr>
        <w:t xml:space="preserve">14.1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14.2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14.3</w:t>
      </w:r>
      <w:r>
        <w:rPr>
          <w:rFonts w:ascii="Calibri" w:cs="Calibri" w:eastAsia="Calibri" w:hAnsi="Calibri"/>
          <w:sz w:val="22"/>
          <w:szCs w:val="22"/>
        </w:rPr>
        <w:t xml:space="preserve">	The Officer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14.4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14.5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14.6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14.7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Professional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Qualification</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ACCA / CPA / part-qualified / finance student]</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Member of a recognised body?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body and number / NO]</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Professional indemnity insurance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[YES: insurer, limit / NO]</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May be described externally as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"Finance Lead": not "accountant"]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External accountant engaged</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[FIRM NAME]</w:t>
            </w:r>
          </w:p>
        </w:tc>
      </w:tr>
    </w:tbl>
    <w:p>
      <w:pPr>
        <w:keepNext/>
        <w:spacing w:after="120" w:before="280"/>
      </w:pPr>
      <w:r>
        <w:rPr>
          <w:rFonts w:ascii="Calibri" w:cs="Calibri" w:eastAsia="Calibri" w:hAnsi="Calibri"/>
          <w:b/>
          <w:bCs/>
          <w:color w:val="1E3A5F"/>
          <w:sz w:val="24"/>
          <w:szCs w:val="24"/>
        </w:rPr>
        <w:t xml:space="preserve">Schedule 2: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Complete this before signature</w:t>
            </w:r>
          </w:p>
          <w:p>
            <w:r>
              <w:rPr>
                <w:rFonts w:ascii="Calibri" w:cs="Calibri" w:eastAsia="Calibri" w:hAnsi="Calibri"/>
                <w:color w:val="78350F"/>
                <w:sz w:val="20"/>
                <w:szCs w:val="20"/>
              </w:rPr>
              <w:t xml:space="preserve">Fill in the actual basis. If nothing is payable yet, say so expressly. A blank schedule creates a dispute about whether anything was 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[monthly retainer / hourly / per period / deferred / none initially]</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[period / hour]</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Hours (if applicable)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per month</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trigger</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first €X revenue / funding round]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amount</w:t>
            </w:r>
          </w:p>
        </w:tc>
        <w:tc>
          <w:tcPr>
            <w:tcW w:type="dxa" w:w="504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longstop date</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 payable by this date regardless]</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Equity (if any)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shares / [X]%: separate documentation required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Approved by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Founder: [NAME], [DATE]</w:t>
            </w:r>
          </w:p>
        </w:tc>
      </w:tr>
    </w:tbl>
    <w:p>
      <w:pPr>
        <w:keepNext/>
        <w:spacing w:after="120" w:before="280"/>
      </w:pPr>
      <w:r>
        <w:rPr>
          <w:rFonts w:ascii="Calibri" w:cs="Calibri" w:eastAsia="Calibri" w:hAnsi="Calibri"/>
          <w:b/>
          <w:bCs/>
          <w:color w:val="1E3A5F"/>
          <w:sz w:val="24"/>
          <w:szCs w:val="24"/>
        </w:rPr>
        <w:t xml:space="preserve">Schedule 3: Officer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Officer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UBP-FINANCE-v1.0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Finance Officer Agreement</dc:title>
  <dc:creator>UniBlueprint</dc:creator>
  <dc:description>UniBlueprint Finance Officer Agreement</dc:description>
  <cp:lastModifiedBy>Un-named</cp:lastModifiedBy>
  <cp:revision>1</cp:revision>
  <dcterms:created xsi:type="dcterms:W3CDTF">2026-09-19T13:50:03.676Z</dcterms:created>
  <dcterms:modified xsi:type="dcterms:W3CDTF">2026-09-19T13:50:03.676Z</dcterms:modified>
</cp:coreProperties>
</file>

<file path=docProps/custom.xml><?xml version="1.0" encoding="utf-8"?>
<Properties xmlns="http://schemas.openxmlformats.org/officeDocument/2006/custom-properties" xmlns:vt="http://schemas.openxmlformats.org/officeDocument/2006/docPropsVTypes"/>
</file>