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Data Processing Terms</w:t>
      </w:r>
    </w:p>
    <w:p>
      <w:pPr>
        <w:pBdr>
          <w:bottom w:val="single" w:color="BFBFBF" w:sz="6" w:space="8"/>
        </w:pBdr>
        <w:spacing w:after="300"/>
      </w:pPr>
      <w:r>
        <w:rPr>
          <w:rFonts w:ascii="Calibri" w:cs="Calibri" w:eastAsia="Calibri" w:hAnsi="Calibri"/>
          <w:color w:val="595959"/>
          <w:sz w:val="22"/>
          <w:szCs w:val="22"/>
        </w:rPr>
        <w:t xml:space="preserve">Article 28 GDPR terms: incorporated into role agreements</w:t>
      </w:r>
    </w:p>
    <w:p>
      <w:pPr>
        <w:spacing w:after="120"/>
      </w:pPr>
      <w:r>
        <w:rPr>
          <w:rFonts w:ascii="Calibri" w:cs="Calibri" w:eastAsia="Calibri" w:hAnsi="Calibri"/>
          <w:b w:val="false"/>
          <w:bCs w:val="false"/>
          <w:i w:val="false"/>
          <w:iCs w:val="false"/>
          <w:color w:val="595959"/>
          <w:sz w:val="22"/>
          <w:szCs w:val="22"/>
        </w:rPr>
        <w:t xml:space="preserve">These Terms apply where a Handler, Coach, Contributor, Representative, Team Member, or other contractor (the "Processor") processes personal data on behalf of UniBlueprint Limited (the "Controller"). They form part of that person's agreement with the Controller and satisfy Article 28(3) of the General Data Protection Regulation (EU) 2016/679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These are not optional boilerplate</w:t>
            </w:r>
          </w:p>
          <w:p>
            <w:r>
              <w:rPr>
                <w:rFonts w:ascii="Calibri" w:cs="Calibri" w:eastAsia="Calibri" w:hAnsi="Calibri"/>
                <w:color w:val="78350F"/>
                <w:sz w:val="20"/>
                <w:szCs w:val="20"/>
              </w:rPr>
              <w:t xml:space="preserve">Article 28(3) GDPR requires a written contract with every processor containing these specific terms. Without it, the Controller is in breach regardless of how carefully the data is actually handled. Attach these Terms to every role agreement where the person touches member data.</w:t>
            </w:r>
          </w:p>
        </w:tc>
      </w:tr>
    </w:tbl>
    <w:p>
      <w:pPr>
        <w:keepNext/>
        <w:spacing w:after="120" w:before="280"/>
      </w:pPr>
      <w:r>
        <w:rPr>
          <w:rFonts w:ascii="Calibri" w:cs="Calibri" w:eastAsia="Calibri" w:hAnsi="Calibri"/>
          <w:b/>
          <w:bCs/>
          <w:color w:val="1E3A5F"/>
          <w:sz w:val="24"/>
          <w:szCs w:val="24"/>
        </w:rPr>
        <w:t xml:space="preserve">1.  Roles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Controller determines the purposes and means of processing personal data relating to its members and users. The Processor processes that personal data only on the Controller's behalf.</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Where the Processor determines its own purposes for personal data, for example a Coach keeping their own client records, the Processor acts as an independent controller for that processing and these Terms do not apply to it. The Processor must comply with the GDPR in its own right for that processing.</w:t>
      </w:r>
    </w:p>
    <w:p>
      <w:pPr>
        <w:keepNext/>
        <w:spacing w:after="120" w:before="280"/>
      </w:pPr>
      <w:r>
        <w:rPr>
          <w:rFonts w:ascii="Calibri" w:cs="Calibri" w:eastAsia="Calibri" w:hAnsi="Calibri"/>
          <w:b/>
          <w:bCs/>
          <w:color w:val="1E3A5F"/>
          <w:sz w:val="24"/>
          <w:szCs w:val="24"/>
        </w:rPr>
        <w:t xml:space="preserve">2.  Scope of processing</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subject matter, duration, nature, purpose, types of personal data, and categories of data subject are set out in the Annex.</w:t>
      </w:r>
    </w:p>
    <w:p>
      <w:pPr>
        <w:keepNext/>
        <w:spacing w:after="120" w:before="280"/>
      </w:pPr>
      <w:r>
        <w:rPr>
          <w:rFonts w:ascii="Calibri" w:cs="Calibri" w:eastAsia="Calibri" w:hAnsi="Calibri"/>
          <w:b/>
          <w:bCs/>
          <w:color w:val="1E3A5F"/>
          <w:sz w:val="24"/>
          <w:szCs w:val="24"/>
        </w:rPr>
        <w:t xml:space="preserve">3.  Processor obligations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Processor will process personal data only on the Controller's documented instructions, including as to transfers outside the European Economic Area, unless required otherwise by law, in which case the Processor will inform the Controller before processing unless the law prohibits it.</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Processor will immediately inform the Controller if it considers an instruction infringes the GDPR or other data protection law.</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Processor will ensure that any person authorised to process the personal data is bound by an obligation of confidentiality and has received appropriate guidance.</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Processor will implement appropriate technical and organisational measures under Article 32 GDPR, including as a minimum:</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access to personal data only through Controller-provided systems and accounts;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a strong unique password and multi-factor authentication on every account used;</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device encryption, an automatic screen lock, and up-to-date operating system and security software;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 storage of personal data on a personal device, personal cloud account, personal email account, or removable media;</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no processing of personal data on a shared or public computer;</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no transmission of personal data over an unsecured channel; and</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secure deletion of any local copy immediately once the task is complete.</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The Processor will not engage another processor without the Controller's prior specific or general written authorisation. Where authorised, the Processor will impose the same obligations by written contract and remains fully liable to the Controller for that sub-processor's performance.</w:t>
      </w:r>
    </w:p>
    <w:p>
      <w:pPr>
        <w:tabs>
          <w:tab w:val="left" w:pos="720"/>
        </w:tabs>
        <w:spacing w:after="120"/>
        <w:ind w:left="720" w:hanging="720"/>
      </w:pPr>
      <w:r>
        <w:rPr>
          <w:rFonts w:ascii="Calibri" w:cs="Calibri" w:eastAsia="Calibri" w:hAnsi="Calibri"/>
          <w:sz w:val="22"/>
          <w:szCs w:val="22"/>
        </w:rPr>
        <w:t xml:space="preserve">3.6</w:t>
      </w:r>
      <w:r>
        <w:rPr>
          <w:rFonts w:ascii="Calibri" w:cs="Calibri" w:eastAsia="Calibri" w:hAnsi="Calibri"/>
          <w:sz w:val="22"/>
          <w:szCs w:val="22"/>
        </w:rPr>
        <w:t xml:space="preserve">	The Processor will assist the Controller, by appropriate technical and organisational measures and so far as possible, in responding to requests to exercise data subject rights under Chapter III GDPR, including access, rectification, erasure, restriction, portability, and objection. The Processor will forward any request it receives directly to the Controller within two (2) business days and will not respond to it itself.</w:t>
      </w:r>
    </w:p>
    <w:p>
      <w:pPr>
        <w:tabs>
          <w:tab w:val="left" w:pos="720"/>
        </w:tabs>
        <w:spacing w:after="120"/>
        <w:ind w:left="720" w:hanging="720"/>
      </w:pPr>
      <w:r>
        <w:rPr>
          <w:rFonts w:ascii="Calibri" w:cs="Calibri" w:eastAsia="Calibri" w:hAnsi="Calibri"/>
          <w:sz w:val="22"/>
          <w:szCs w:val="22"/>
        </w:rPr>
        <w:t xml:space="preserve">3.7</w:t>
      </w:r>
      <w:r>
        <w:rPr>
          <w:rFonts w:ascii="Calibri" w:cs="Calibri" w:eastAsia="Calibri" w:hAnsi="Calibri"/>
          <w:sz w:val="22"/>
          <w:szCs w:val="22"/>
        </w:rPr>
        <w:t xml:space="preserve">	The Processor will assist the Controller in complying with Articles 32 to 36 GDPR, covering security, breach notification, data protection impact assessments, and prior consultation, taking into account the nature of processing and the information available to it.</w:t>
      </w:r>
    </w:p>
    <w:p>
      <w:pPr>
        <w:tabs>
          <w:tab w:val="left" w:pos="720"/>
        </w:tabs>
        <w:spacing w:after="120"/>
        <w:ind w:left="720" w:hanging="720"/>
      </w:pPr>
      <w:r>
        <w:rPr>
          <w:rFonts w:ascii="Calibri" w:cs="Calibri" w:eastAsia="Calibri" w:hAnsi="Calibri"/>
          <w:sz w:val="22"/>
          <w:szCs w:val="22"/>
        </w:rPr>
        <w:t xml:space="preserve">3.8</w:t>
      </w:r>
      <w:r>
        <w:rPr>
          <w:rFonts w:ascii="Calibri" w:cs="Calibri" w:eastAsia="Calibri" w:hAnsi="Calibri"/>
          <w:sz w:val="22"/>
          <w:szCs w:val="22"/>
        </w:rPr>
        <w:t xml:space="preserve">	At the Controller's choice, the Processor will delete or return all personal data at the end of the provision of services and delete existing copies, unless retention is required by law.</w:t>
      </w:r>
    </w:p>
    <w:p>
      <w:pPr>
        <w:tabs>
          <w:tab w:val="left" w:pos="720"/>
        </w:tabs>
        <w:spacing w:after="120"/>
        <w:ind w:left="720" w:hanging="720"/>
      </w:pPr>
      <w:r>
        <w:rPr>
          <w:rFonts w:ascii="Calibri" w:cs="Calibri" w:eastAsia="Calibri" w:hAnsi="Calibri"/>
          <w:sz w:val="22"/>
          <w:szCs w:val="22"/>
        </w:rPr>
        <w:t xml:space="preserve">3.9</w:t>
      </w:r>
      <w:r>
        <w:rPr>
          <w:rFonts w:ascii="Calibri" w:cs="Calibri" w:eastAsia="Calibri" w:hAnsi="Calibri"/>
          <w:sz w:val="22"/>
          <w:szCs w:val="22"/>
        </w:rPr>
        <w:t xml:space="preserve">	The Processor will make available to the Controller all information necessary to demonstrate compliance with Article 28 and will allow for and contribute to audits and inspections conducted by the Controller or an auditor it mandates, on reasonable notice.</w:t>
      </w:r>
    </w:p>
    <w:p>
      <w:pPr>
        <w:keepNext/>
        <w:spacing w:after="120" w:before="280"/>
      </w:pPr>
      <w:r>
        <w:rPr>
          <w:rFonts w:ascii="Calibri" w:cs="Calibri" w:eastAsia="Calibri" w:hAnsi="Calibri"/>
          <w:b/>
          <w:bCs/>
          <w:color w:val="1E3A5F"/>
          <w:sz w:val="24"/>
          <w:szCs w:val="24"/>
        </w:rPr>
        <w:t xml:space="preserve">4.  Personal data breach</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Processor will notify the Controller without undue delay, and in any event within twenty-four (24) hours, after becoming aware of a personal data breach.</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notification will describe, so far as known, the nature of the breach, the categories and approximate number of data subjects and records affected, the likely consequences, and the measures taken or proposed.</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A lost or stolen device on which personal data was held, an account compromise, and an email sent to the wrong recipient are each a personal data breach and must be reported.</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The Processor will not notify the Data Protection Commission, any other supervisory authority, or any data subject unless the Controller directs it to.</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The Processor will take all reasonable steps to contain and remediate the breach and will co-operate fully with the Controller's investigation.</w:t>
      </w:r>
    </w:p>
    <w:p>
      <w:pPr>
        <w:keepNext/>
        <w:spacing w:after="120" w:before="280"/>
      </w:pPr>
      <w:r>
        <w:rPr>
          <w:rFonts w:ascii="Calibri" w:cs="Calibri" w:eastAsia="Calibri" w:hAnsi="Calibri"/>
          <w:b/>
          <w:bCs/>
          <w:color w:val="1E3A5F"/>
          <w:sz w:val="24"/>
          <w:szCs w:val="24"/>
        </w:rPr>
        <w:t xml:space="preserve">5.  Restrictions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Processor will not: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use personal data for its own purposes, including marketing, research, training a model, or portfolio use;</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upload personal data to any artificial intelligence or third party tool that is not on the Controller's written approved list;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contact a data subject other than through the Controller's systems and for the authorised purpose;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combine the personal data with any other dataset; or</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retain personal data after the task is complete.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Processor will access only the minimum personal data needed for the specific task and will not browse records out of curiosity. Access is logged and monitored.</w:t>
      </w:r>
    </w:p>
    <w:p>
      <w:pPr>
        <w:keepNext/>
        <w:spacing w:after="120" w:before="280"/>
      </w:pPr>
      <w:r>
        <w:rPr>
          <w:rFonts w:ascii="Calibri" w:cs="Calibri" w:eastAsia="Calibri" w:hAnsi="Calibri"/>
          <w:b/>
          <w:bCs/>
          <w:color w:val="1E3A5F"/>
          <w:sz w:val="24"/>
          <w:szCs w:val="24"/>
        </w:rPr>
        <w:t xml:space="preserve">6.  International transfers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Processor will not transfer personal data outside the European Economic Area without the Controller's prior written authorisation and an appropriate Chapter V GDPR transfer mechanism.</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Accessing personal data from outside the European Economic Area is a transfer for this purpose. The Processor will notify the Controller before working from outside the EEA.</w:t>
      </w:r>
    </w:p>
    <w:p>
      <w:pPr>
        <w:keepNext/>
        <w:spacing w:after="120" w:before="280"/>
      </w:pPr>
      <w:r>
        <w:rPr>
          <w:rFonts w:ascii="Calibri" w:cs="Calibri" w:eastAsia="Calibri" w:hAnsi="Calibri"/>
          <w:b/>
          <w:bCs/>
          <w:color w:val="1E3A5F"/>
          <w:sz w:val="24"/>
          <w:szCs w:val="24"/>
        </w:rPr>
        <w:t xml:space="preserve">7.  Liability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Processor will indemnify the Controller against any fine, compensation, loss, or cost arising from the Processor's breach of these Terms or of its obligations under the GDPR.</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Nothing in these Terms limits either party's liability to a data subject or to a supervisory authority.</w:t>
      </w:r>
    </w:p>
    <w:p>
      <w:pPr>
        <w:keepNext/>
        <w:spacing w:after="120" w:before="280"/>
      </w:pPr>
      <w:r>
        <w:rPr>
          <w:rFonts w:ascii="Calibri" w:cs="Calibri" w:eastAsia="Calibri" w:hAnsi="Calibri"/>
          <w:b/>
          <w:bCs/>
          <w:color w:val="1E3A5F"/>
          <w:sz w:val="24"/>
          <w:szCs w:val="24"/>
        </w:rPr>
        <w:t xml:space="preserve">Annex: Details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2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Subject matter</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Processing of member personal data to deliver UniBlueprint services</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Duration</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For the term of the role agreement, and only while a task is in progress</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Nature and purpose</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Reviewing submissions, delivering services, communicating with members, and administering the platform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Types of personal data</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 email, phone, institution, course, year, employment and education history, career documents, submission content, session records, and correspondence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Special category data</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Not processed by default. Health, disability, or other special category data may incidentally appear in a member submission and must be handled with particular care and never copied out of the platform.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Categories of data subject</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members and users, including persons aged under 18 where applicable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Approved sub-processors</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[NONE / LIST]</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Approved tools</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[LIST, e.g. platform only. Any AI tool must be listed here or it is not approved.]</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Retention</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Delete local copies immediately on task completion. Platform retention follows the UniBlueprint Privacy Policy.</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Controller contact</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Acknowledged as part of the signatory's role agreement with UniBlueprint Limited.</w:t>
      </w:r>
    </w:p>
    <w:p>
      <w:pPr>
        <w:spacing w:after="160" w:before="240"/>
      </w:pPr>
      <w:r>
        <w:rPr>
          <w:rFonts w:ascii="Calibri" w:cs="Calibri" w:eastAsia="Calibri" w:hAnsi="Calibri"/>
          <w:b/>
          <w:bCs/>
          <w:sz w:val="22"/>
          <w:szCs w:val="22"/>
        </w:rPr>
        <w:t xml:space="preserve">Acknowledged by the Processor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UBP-DPA-v1.0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Data Processing Terms</dc:title>
  <dc:creator>UniBlueprint</dc:creator>
  <dc:description>UniBlueprint Data Processing Terms</dc:description>
  <cp:lastModifiedBy>Un-named</cp:lastModifiedBy>
  <cp:revision>1</cp:revision>
  <dcterms:created xsi:type="dcterms:W3CDTF">2026-09-19T13:50:03.820Z</dcterms:created>
  <dcterms:modified xsi:type="dcterms:W3CDTF">2026-09-19T13:50:03.820Z</dcterms:modified>
</cp:coreProperties>
</file>

<file path=docProps/custom.xml><?xml version="1.0" encoding="utf-8"?>
<Properties xmlns="http://schemas.openxmlformats.org/officeDocument/2006/custom-properties" xmlns:vt="http://schemas.openxmlformats.org/officeDocument/2006/docPropsVTypes"/>
</file>