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Partner Agreement</w:t>
      </w:r>
    </w:p>
    <w:p>
      <w:pPr>
        <w:pBdr>
          <w:bottom w:val="single" w:color="BFBFBF" w:sz="6" w:space="8"/>
        </w:pBdr>
        <w:spacing w:after="300"/>
      </w:pPr>
      <w:r>
        <w:rPr>
          <w:rFonts w:ascii="Calibri" w:cs="Calibri" w:eastAsia="Calibri" w:hAnsi="Calibri"/>
          <w:color w:val="595959"/>
          <w:sz w:val="22"/>
          <w:szCs w:val="22"/>
        </w:rPr>
        <w:t xml:space="preserve">Lifestyle Blueprint: business listing, tiers, and payment options</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[PARTNER LEGAL NAME], trading as [TRADING NAME], of [BUSINESS ADDRESS], [company/VAT number if applicable] (the "Partner",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Complete before sending</w:t>
            </w:r>
          </w:p>
          <w:p>
            <w:r>
              <w:rPr>
                <w:rFonts w:ascii="Calibri" w:cs="Calibri" w:eastAsia="Calibri" w:hAnsi="Calibri"/>
                <w:color w:val="78350F"/>
                <w:sz w:val="20"/>
                <w:szCs w:val="20"/>
              </w:rPr>
              <w:t xml:space="preserve">Fill every bracketed field. Complete Schedule 1 (the Offer) and Schedule 2 (Tier and Payment Option) before this is sent for signature. The Partner must also have a live Stripe Connect account before the Listing goes live, so payments under clause 6.5 can be routed to it. An agreement issued with Schedule 2 blank, or without a working Connected Account, leaves the price and payment mechanism open and is not enforceable as to price.</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operates a platform for young people in Ireland comprising a website and a mobile application, including a section known as Lifestyle Blueprint on which partner businesses list offers available to UniBlueprint members.</w:t>
      </w:r>
    </w:p>
    <w:p>
      <w:pPr>
        <w:spacing w:after="120"/>
      </w:pPr>
      <w:r>
        <w:rPr>
          <w:rFonts w:ascii="Calibri" w:cs="Calibri" w:eastAsia="Calibri" w:hAnsi="Calibri"/>
          <w:b w:val="false"/>
          <w:bCs w:val="false"/>
          <w:i w:val="false"/>
          <w:iCs w:val="false"/>
          <w:sz w:val="22"/>
          <w:szCs w:val="22"/>
        </w:rPr>
        <w:t xml:space="preserve">B.  The Partner wishes to list an offer on Lifestyle Blueprint. UniBlueprint has agreed to list the Partner on the terms set out below, beginning with a free trial month and followed by a Tier and Payment Option chosen or assigned under clause 4.</w:t>
      </w:r>
    </w:p>
    <w:p>
      <w:pPr>
        <w:spacing w:after="120"/>
      </w:pPr>
      <w:r>
        <w:rPr>
          <w:rFonts w:ascii="Calibri" w:cs="Calibri" w:eastAsia="Calibri" w:hAnsi="Calibri"/>
          <w:b w:val="false"/>
          <w:bCs w:val="false"/>
          <w:i w:val="false"/>
          <w:iCs w:val="false"/>
          <w:sz w:val="22"/>
          <w:szCs w:val="22"/>
        </w:rPr>
        <w:t xml:space="preserve">C.  The Partner remains the seller of everything supplied under a Listing. UniBlueprint provides a listing and introduction service and, from the Listing Live Date, collects payment from Members on the Partner's behalf through its payment processor, retaining a Commission as set out in clause 6 and Schedule 2.</w:t>
      </w:r>
    </w:p>
    <w:p>
      <w:pPr>
        <w:keepNext/>
        <w:spacing w:after="120" w:before="280"/>
      </w:pPr>
      <w:r>
        <w:rPr>
          <w:rFonts w:ascii="Calibri" w:cs="Calibri" w:eastAsia="Calibri" w:hAnsi="Calibri"/>
          <w:b/>
          <w:bCs/>
          <w:color w:val="1E3A5F"/>
          <w:sz w:val="24"/>
          <w:szCs w:val="24"/>
        </w:rPr>
        <w:t xml:space="preserve">1.  Definitions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In this Agreement: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"Commission" means the percentage of the redemption value UniBlueprint retains under clause 6, at the rate set out in Schedule 2 for the Partner's Tier and Payment Option.</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"Connected Account" means the Partner's account with UniBlueprint's payment processor (Stripe Connect or its successor), to which payments due to the Partner are remitted under clause 6.5.</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"Decision Date" means the 20th day of the Free Trial Month.</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"Founding Partner Badge" means the recognition described in clause 4.6.</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"Free Trial Month" means the period of one calendar month beginning on the Listing Live Date, during which no Tier Fee or Commission is payable.</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"Listing" means the Partner's entry on Lifestyle Blueprint, including its name, logo, category, description, and Offer.</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"Listing Live Date" means the date on which the Listing first becomes visible to members, as notified to the Partner in writing.</w:t>
      </w:r>
    </w:p>
    <w:p>
      <w:pPr>
        <w:tabs>
          <w:tab w:val="left" w:pos="1440"/>
        </w:tabs>
        <w:spacing w:after="80"/>
        <w:ind w:left="1440" w:hanging="360"/>
      </w:pPr>
      <w:r>
        <w:rPr>
          <w:rFonts w:ascii="Calibri" w:cs="Calibri" w:eastAsia="Calibri" w:hAnsi="Calibri"/>
          <w:sz w:val="22"/>
          <w:szCs w:val="22"/>
        </w:rPr>
        <w:t xml:space="preserve">(h)</w:t>
      </w:r>
      <w:r>
        <w:rPr>
          <w:rFonts w:ascii="Calibri" w:cs="Calibri" w:eastAsia="Calibri" w:hAnsi="Calibri"/>
          <w:sz w:val="22"/>
          <w:szCs w:val="22"/>
        </w:rPr>
        <w:t xml:space="preserve">	"Member" means a registered user of the UniBlueprint platform.</w:t>
      </w:r>
    </w:p>
    <w:p>
      <w:pPr>
        <w:tabs>
          <w:tab w:val="left" w:pos="1440"/>
        </w:tabs>
        <w:spacing w:after="80"/>
        <w:ind w:left="1440" w:hanging="360"/>
      </w:pPr>
      <w:r>
        <w:rPr>
          <w:rFonts w:ascii="Calibri" w:cs="Calibri" w:eastAsia="Calibri" w:hAnsi="Calibri"/>
          <w:sz w:val="22"/>
          <w:szCs w:val="22"/>
        </w:rPr>
        <w:t xml:space="preserve">(i)</w:t>
      </w:r>
      <w:r>
        <w:rPr>
          <w:rFonts w:ascii="Calibri" w:cs="Calibri" w:eastAsia="Calibri" w:hAnsi="Calibri"/>
          <w:sz w:val="22"/>
          <w:szCs w:val="22"/>
        </w:rPr>
        <w:t xml:space="preserve">	"Offer" means the discount, rate, or benefit the Partner makes available to Members, as set out in Schedule 1.</w:t>
      </w:r>
    </w:p>
    <w:p>
      <w:pPr>
        <w:tabs>
          <w:tab w:val="left" w:pos="1440"/>
        </w:tabs>
        <w:spacing w:after="80"/>
        <w:ind w:left="1440" w:hanging="360"/>
      </w:pPr>
      <w:r>
        <w:rPr>
          <w:rFonts w:ascii="Calibri" w:cs="Calibri" w:eastAsia="Calibri" w:hAnsi="Calibri"/>
          <w:sz w:val="22"/>
          <w:szCs w:val="22"/>
        </w:rPr>
        <w:t xml:space="preserve">(j)</w:t>
      </w:r>
      <w:r>
        <w:rPr>
          <w:rFonts w:ascii="Calibri" w:cs="Calibri" w:eastAsia="Calibri" w:hAnsi="Calibri"/>
          <w:sz w:val="22"/>
          <w:szCs w:val="22"/>
        </w:rPr>
        <w:t xml:space="preserve">	"Payment Option A" means the fixed monthly Tier Fee plus reduced Commission structure set out in Schedule 2.</w:t>
      </w:r>
    </w:p>
    <w:p>
      <w:pPr>
        <w:tabs>
          <w:tab w:val="left" w:pos="1440"/>
        </w:tabs>
        <w:spacing w:after="80"/>
        <w:ind w:left="1440" w:hanging="360"/>
      </w:pPr>
      <w:r>
        <w:rPr>
          <w:rFonts w:ascii="Calibri" w:cs="Calibri" w:eastAsia="Calibri" w:hAnsi="Calibri"/>
          <w:sz w:val="22"/>
          <w:szCs w:val="22"/>
        </w:rPr>
        <w:t xml:space="preserve">(k)</w:t>
      </w:r>
      <w:r>
        <w:rPr>
          <w:rFonts w:ascii="Calibri" w:cs="Calibri" w:eastAsia="Calibri" w:hAnsi="Calibri"/>
          <w:sz w:val="22"/>
          <w:szCs w:val="22"/>
        </w:rPr>
        <w:t xml:space="preserve">	"Payment Option B" means the nil (or reduced) monthly Tier Fee with an individually negotiated Commission structure set out in Schedule 2.</w:t>
      </w:r>
    </w:p>
    <w:p>
      <w:pPr>
        <w:tabs>
          <w:tab w:val="left" w:pos="1440"/>
        </w:tabs>
        <w:spacing w:after="80"/>
        <w:ind w:left="1440" w:hanging="360"/>
      </w:pPr>
      <w:r>
        <w:rPr>
          <w:rFonts w:ascii="Calibri" w:cs="Calibri" w:eastAsia="Calibri" w:hAnsi="Calibri"/>
          <w:sz w:val="22"/>
          <w:szCs w:val="22"/>
        </w:rPr>
        <w:t xml:space="preserve">(l)</w:t>
      </w:r>
      <w:r>
        <w:rPr>
          <w:rFonts w:ascii="Calibri" w:cs="Calibri" w:eastAsia="Calibri" w:hAnsi="Calibri"/>
          <w:sz w:val="22"/>
          <w:szCs w:val="22"/>
        </w:rPr>
        <w:t xml:space="preserve">	"Partnership Contact" means the UniBlueprint team member assigned to the Partner and named in Schedule 3.</w:t>
      </w:r>
    </w:p>
    <w:p>
      <w:pPr>
        <w:tabs>
          <w:tab w:val="left" w:pos="1440"/>
        </w:tabs>
        <w:spacing w:after="80"/>
        <w:ind w:left="1440" w:hanging="360"/>
      </w:pPr>
      <w:r>
        <w:rPr>
          <w:rFonts w:ascii="Calibri" w:cs="Calibri" w:eastAsia="Calibri" w:hAnsi="Calibri"/>
          <w:sz w:val="22"/>
          <w:szCs w:val="22"/>
        </w:rPr>
        <w:t xml:space="preserve">(m)</w:t>
      </w:r>
      <w:r>
        <w:rPr>
          <w:rFonts w:ascii="Calibri" w:cs="Calibri" w:eastAsia="Calibri" w:hAnsi="Calibri"/>
          <w:sz w:val="22"/>
          <w:szCs w:val="22"/>
        </w:rPr>
        <w:t xml:space="preserve">	"Platform" means the UniBlueprint website and mobile application.</w:t>
      </w:r>
    </w:p>
    <w:p>
      <w:pPr>
        <w:tabs>
          <w:tab w:val="left" w:pos="1440"/>
        </w:tabs>
        <w:spacing w:after="80"/>
        <w:ind w:left="1440" w:hanging="360"/>
      </w:pPr>
      <w:r>
        <w:rPr>
          <w:rFonts w:ascii="Calibri" w:cs="Calibri" w:eastAsia="Calibri" w:hAnsi="Calibri"/>
          <w:sz w:val="22"/>
          <w:szCs w:val="22"/>
        </w:rPr>
        <w:t xml:space="preserve">(n)</w:t>
      </w:r>
      <w:r>
        <w:rPr>
          <w:rFonts w:ascii="Calibri" w:cs="Calibri" w:eastAsia="Calibri" w:hAnsi="Calibri"/>
          <w:sz w:val="22"/>
          <w:szCs w:val="22"/>
        </w:rPr>
        <w:t xml:space="preserve">	"Public Launch Date" means the date UniBlueprint publicly launches the Platform, as notified on the Platform.</w:t>
      </w:r>
    </w:p>
    <w:p>
      <w:pPr>
        <w:tabs>
          <w:tab w:val="left" w:pos="1440"/>
        </w:tabs>
        <w:spacing w:after="80"/>
        <w:ind w:left="1440" w:hanging="360"/>
      </w:pPr>
      <w:r>
        <w:rPr>
          <w:rFonts w:ascii="Calibri" w:cs="Calibri" w:eastAsia="Calibri" w:hAnsi="Calibri"/>
          <w:sz w:val="22"/>
          <w:szCs w:val="22"/>
        </w:rPr>
        <w:t xml:space="preserve">(o)</w:t>
      </w:r>
      <w:r>
        <w:rPr>
          <w:rFonts w:ascii="Calibri" w:cs="Calibri" w:eastAsia="Calibri" w:hAnsi="Calibri"/>
          <w:sz w:val="22"/>
          <w:szCs w:val="22"/>
        </w:rPr>
        <w:t xml:space="preserve">	"Tier" means the classification (Access, Plus, or Signature) assigned to the Partner under clause 4.1.</w:t>
      </w:r>
    </w:p>
    <w:p>
      <w:pPr>
        <w:tabs>
          <w:tab w:val="left" w:pos="1440"/>
        </w:tabs>
        <w:spacing w:after="80"/>
        <w:ind w:left="1440" w:hanging="360"/>
      </w:pPr>
      <w:r>
        <w:rPr>
          <w:rFonts w:ascii="Calibri" w:cs="Calibri" w:eastAsia="Calibri" w:hAnsi="Calibri"/>
          <w:sz w:val="22"/>
          <w:szCs w:val="22"/>
        </w:rPr>
        <w:t xml:space="preserve">(p)</w:t>
      </w:r>
      <w:r>
        <w:rPr>
          <w:rFonts w:ascii="Calibri" w:cs="Calibri" w:eastAsia="Calibri" w:hAnsi="Calibri"/>
          <w:sz w:val="22"/>
          <w:szCs w:val="22"/>
        </w:rPr>
        <w:t xml:space="preserve">	"Tier Fee" means the fixed monthly fee, if any, payable under the Partner's Tier and Payment Option, as set out in Schedule 2.</w:t>
      </w:r>
    </w:p>
    <w:p>
      <w:pPr>
        <w:keepNext/>
        <w:spacing w:after="120" w:before="280"/>
      </w:pPr>
      <w:r>
        <w:rPr>
          <w:rFonts w:ascii="Calibri" w:cs="Calibri" w:eastAsia="Calibri" w:hAnsi="Calibri"/>
          <w:b/>
          <w:bCs/>
          <w:color w:val="1E3A5F"/>
          <w:sz w:val="24"/>
          <w:szCs w:val="24"/>
        </w:rPr>
        <w:t xml:space="preserve">2.  Free Trial Month</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Partner is admitted to Lifestyle Blueprint on a free trial basis. No Tier Fee, Commission, or other charge of any kind is payable by the Partner in respect of the Free Trial Month.</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During the Free Trial Month the Listing carries the same prominence and functionality as a paid listing. UniBlueprint will not restrict or downgrade the Listing by reason only of it being on trial.</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Partner may withdraw at any time during the Free Trial Month by written notice, with no charge and no further obligation.</w:t>
      </w:r>
    </w:p>
    <w:p>
      <w:pPr>
        <w:keepNext/>
        <w:spacing w:after="120" w:before="280"/>
      </w:pPr>
      <w:r>
        <w:rPr>
          <w:rFonts w:ascii="Calibri" w:cs="Calibri" w:eastAsia="Calibri" w:hAnsi="Calibri"/>
          <w:b/>
          <w:bCs/>
          <w:color w:val="1E3A5F"/>
          <w:sz w:val="24"/>
          <w:szCs w:val="24"/>
        </w:rPr>
        <w:t xml:space="preserve">3.  The Decision Date</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On or before the Decision Date the Partner must do one of the following:</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confirm in writing to UniBlueprint that it wishes to continue, selecting Payment Option A or Payment Option B under clause 4; if the Partner confirms continuation without specifying an Option, Payment Option A applies; or</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make contact with its Partnership Contact (by email, telephone, message, or meeting) to discuss continuing, varying, or ending the arrangement.</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Contact under clause 3.1(b) is sufficient to satisfy the Decision Date requirement. The Partner is not required to make a final commitment by the Decision Date, only to engage.</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UniBlueprint will send the Partner a written reminder no later than five (5) days before the Decision Date, to the email address in Schedule 3. Failure by UniBlueprint to send that reminder extends the Decision Date by five (5) days.</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If the Partner does neither of the things in clause 3.1 by the Decision Date, then at the end of the Free Trial Month the Listing will be paused. A paused Listing is hidden from Members. No Tier Fee or Commission is payable and no debt arises. Silence does not create a payment obligation.</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A Listing paused under clause 3.4 may be reactivated at any time within six (6) months by written agreement, without repeating the Free Trial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Why silence pauses rather than bills</w:t>
            </w:r>
          </w:p>
          <w:p>
            <w:r>
              <w:rPr>
                <w:rFonts w:ascii="Calibri" w:cs="Calibri" w:eastAsia="Calibri" w:hAnsi="Calibri"/>
                <w:color w:val="78350F"/>
                <w:sz w:val="20"/>
                <w:szCs w:val="20"/>
              </w:rPr>
              <w:t xml:space="preserve">Auto-converting a non-responding partner onto a paid Tier creates a debt you would have to chase, and is the kind of term the CCPC scrutinises. Pausing costs you nothing and keeps the relationship open. If you want auto-conversion instead, that must be flagged prominently before signature and is a commercial decision to take with advice.</w:t>
            </w:r>
          </w:p>
        </w:tc>
      </w:tr>
    </w:tbl>
    <w:p>
      <w:pPr>
        <w:keepNext/>
        <w:spacing w:after="120" w:before="280"/>
      </w:pPr>
      <w:r>
        <w:rPr>
          <w:rFonts w:ascii="Calibri" w:cs="Calibri" w:eastAsia="Calibri" w:hAnsi="Calibri"/>
          <w:b/>
          <w:bCs/>
          <w:color w:val="1E3A5F"/>
          <w:sz w:val="24"/>
          <w:szCs w:val="24"/>
        </w:rPr>
        <w:t xml:space="preserve">4.  Tier, Payment Option and Fees</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UniBlueprint classifies the Partner into one of three Tiers — Access, Plus, or Signature — based on the joint judgment of UniBlueprint and the Partner as to the size of the Partner's business, the scope of the goods or services covered by the Listing, and the Partner's own pricing under Schedule 1. Tier classification is a categorisation only and does not itself create a fee; fees arise only from the Tier Fee and Commission set out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3380"/>
        <w:gridCol w:w="4160"/>
      </w:tblGrid>
      <w:tr>
        <w:trPr>
          <w:tblHeader/>
        </w:trPr>
        <w:tc>
          <w:tcPr>
            <w:tcW w:type="dxa" w:w="18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338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Payment Option A</w:t>
            </w:r>
          </w:p>
        </w:tc>
        <w:tc>
          <w:tcPr>
            <w:tcW w:type="dxa" w:w="41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Payment Option B</w:t>
            </w:r>
          </w:p>
        </w:tc>
      </w:tr>
      <w:tr>
        <w:tc>
          <w:tcPr>
            <w:tcW w:type="dxa" w:w="1820"/>
            <w:tcMar>
              <w:top w:type="dxa" w:w="80"/>
              <w:left w:type="dxa" w:w="120"/>
              <w:bottom w:type="dxa" w:w="80"/>
              <w:right w:type="dxa" w:w="120"/>
            </w:tcMar>
          </w:tcPr>
          <w:p>
            <w:r>
              <w:rPr>
                <w:rFonts w:ascii="Calibri" w:cs="Calibri" w:eastAsia="Calibri" w:hAnsi="Calibri"/>
                <w:b w:val="false"/>
                <w:bCs w:val="false"/>
                <w:sz w:val="20"/>
                <w:szCs w:val="20"/>
              </w:rPr>
              <w:t xml:space="preserve">Access</w:t>
            </w:r>
          </w:p>
        </w:tc>
        <w:tc>
          <w:tcPr>
            <w:tcW w:type="dxa" w:w="338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€15/month + 10% Commission</w:t>
            </w:r>
          </w:p>
        </w:tc>
        <w:tc>
          <w:tcPr>
            <w:tcW w:type="dxa" w:w="416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€0/month + individually negotiated Commission (uncapped, confidential — clause 11)</w:t>
            </w:r>
          </w:p>
        </w:tc>
      </w:tr>
      <w:tr>
        <w:tc>
          <w:tcPr>
            <w:tcW w:type="dxa" w:w="18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Plus</w:t>
            </w:r>
          </w:p>
        </w:tc>
        <w:tc>
          <w:tcPr>
            <w:tcW w:type="dxa" w:w="338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€45/month + 8% Commission</w:t>
            </w:r>
          </w:p>
        </w:tc>
        <w:tc>
          <w:tcPr>
            <w:tcW w:type="dxa" w:w="416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€0/month + individually negotiated Commission (uncapped, confidential — clause 11)</w:t>
            </w:r>
          </w:p>
        </w:tc>
      </w:tr>
      <w:tr>
        <w:tc>
          <w:tcPr>
            <w:tcW w:type="dxa" w:w="1820"/>
            <w:tcMar>
              <w:top w:type="dxa" w:w="80"/>
              <w:left w:type="dxa" w:w="120"/>
              <w:bottom w:type="dxa" w:w="80"/>
              <w:right w:type="dxa" w:w="120"/>
            </w:tcMar>
          </w:tcPr>
          <w:p>
            <w:r>
              <w:rPr>
                <w:rFonts w:ascii="Calibri" w:cs="Calibri" w:eastAsia="Calibri" w:hAnsi="Calibri"/>
                <w:b w:val="false"/>
                <w:bCs w:val="false"/>
                <w:sz w:val="20"/>
                <w:szCs w:val="20"/>
              </w:rPr>
              <w:t xml:space="preserve">Signature</w:t>
            </w:r>
          </w:p>
        </w:tc>
        <w:tc>
          <w:tcPr>
            <w:tcW w:type="dxa" w:w="3380"/>
            <w:tcMar>
              <w:top w:type="dxa" w:w="80"/>
              <w:left w:type="dxa" w:w="120"/>
              <w:bottom w:type="dxa" w:w="80"/>
              <w:right w:type="dxa" w:w="120"/>
            </w:tcMar>
          </w:tcPr>
          <w:p>
            <w:r>
              <w:rPr>
                <w:rFonts w:ascii="Calibri" w:cs="Calibri" w:eastAsia="Calibri" w:hAnsi="Calibri"/>
                <w:b w:val="false"/>
                <w:bCs w:val="false"/>
                <w:sz w:val="20"/>
                <w:szCs w:val="20"/>
              </w:rPr>
              <w:t xml:space="preserve">[TIER FEE / COMMISSION % — TO BE CONFIRMED]</w:t>
            </w:r>
          </w:p>
        </w:tc>
        <w:tc>
          <w:tcPr>
            <w:tcW w:type="dxa" w:w="416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€0/month + individually negotiated Commission (uncapped, confidential — clause 11)</w:t>
            </w:r>
          </w:p>
        </w:tc>
      </w:tr>
    </w:tbl>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Commission is calculated on the redemption value of the transaction, excluding VAT, and is deducted at the time of the transaction under clause 6.5.</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The Paid Term begins on the day after the Free Trial Month ends and continues for the period stated in Schedule 2. Either party may terminate the Paid Term on thirty (30) days' written notice. Any Tier Fee already paid in respect of a period that has not yet elapsed will be refunded pro rata.</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UniBlueprint may reassess the Partner's Tier from time to time to reflect changes in the size of the Partner's business, the scope of its Listing, or its pricing. UniBlueprint will give the Partner [NOTICE PERIOD — TO BE CONFIRMED BY FINANCE] written notice before a change of Tier takes effect.</w:t>
      </w:r>
    </w:p>
    <w:p>
      <w:pPr>
        <w:tabs>
          <w:tab w:val="left" w:pos="720"/>
        </w:tabs>
        <w:spacing w:after="120"/>
        <w:ind w:left="720" w:hanging="720"/>
      </w:pPr>
      <w:r>
        <w:rPr>
          <w:rFonts w:ascii="Calibri" w:cs="Calibri" w:eastAsia="Calibri" w:hAnsi="Calibri"/>
          <w:sz w:val="22"/>
          <w:szCs w:val="22"/>
        </w:rPr>
        <w:t xml:space="preserve">4.5</w:t>
      </w:r>
      <w:r>
        <w:rPr>
          <w:rFonts w:ascii="Calibri" w:cs="Calibri" w:eastAsia="Calibri" w:hAnsi="Calibri"/>
          <w:sz w:val="22"/>
          <w:szCs w:val="22"/>
        </w:rPr>
        <w:t xml:space="preserve">	Where the Partner selects Payment Option B, the negotiated Commission rate is recorded and dated in Schedule 2 and is confidential under clause 11. [GOVERNANCE PROCESS — TO BE CONFIRMED] governs who at UniBlueprint has authority to agree a Payment Option B rate.</w:t>
      </w:r>
    </w:p>
    <w:p>
      <w:pPr>
        <w:tabs>
          <w:tab w:val="left" w:pos="720"/>
        </w:tabs>
        <w:spacing w:after="120"/>
        <w:ind w:left="720" w:hanging="720"/>
      </w:pPr>
      <w:r>
        <w:rPr>
          <w:rFonts w:ascii="Calibri" w:cs="Calibri" w:eastAsia="Calibri" w:hAnsi="Calibri"/>
          <w:sz w:val="22"/>
          <w:szCs w:val="22"/>
        </w:rPr>
        <w:t xml:space="preserve">4.6</w:t>
      </w:r>
      <w:r>
        <w:rPr>
          <w:rFonts w:ascii="Calibri" w:cs="Calibri" w:eastAsia="Calibri" w:hAnsi="Calibri"/>
          <w:sz w:val="22"/>
          <w:szCs w:val="22"/>
        </w:rPr>
        <w:t xml:space="preserve">	A Partner that signs this Agreement before the Public Launch Date is awarded the Founding Partner Badge. The Badge is a timing-based recognition and is independent of the Partner's Tier or Payment Option. [REVOCABILITY — TO BE CONFIRMED WITH SOLICITOR] governs whether the Badge is retained if the Partner later leaves and rejoins the Platform.</w:t>
      </w:r>
    </w:p>
    <w:p>
      <w:pPr>
        <w:keepNext/>
        <w:spacing w:after="120" w:before="280"/>
      </w:pPr>
      <w:r>
        <w:rPr>
          <w:rFonts w:ascii="Calibri" w:cs="Calibri" w:eastAsia="Calibri" w:hAnsi="Calibri"/>
          <w:b/>
          <w:bCs/>
          <w:color w:val="1E3A5F"/>
          <w:sz w:val="24"/>
          <w:szCs w:val="24"/>
        </w:rPr>
        <w:t xml:space="preserve">5.  The Offer</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Partner will honour the Offer in Schedule 1 for every Member who presents valid proof of UniBlueprint membership, for as long as the Listing is live.</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Partner may vary or withdraw the Offer on fourteen (14) days' written notice. UniBlueprint will update the Listing. The Partner must honour the previous Offer for any Member who relied on it before the change took effect.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The Partner warrants that the Offer is genuine, that any "was" or reference price stated is a price at which the product or service was actually available, and that the Offer complies with the Consumer Protection Act 2007 and the European Union (Consumer Protection (Price Indication)) Regulations.</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The Partner must not make the Offer conditional on anything not disclosed in Schedule 1.</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Partner's own pricing recorded in Schedule 1 forms part of the basis on which UniBlueprint classifies the Partner's Tier under clause 4.1.</w:t>
      </w:r>
    </w:p>
    <w:p>
      <w:pPr>
        <w:keepNext/>
        <w:spacing w:after="120" w:before="280"/>
      </w:pPr>
      <w:r>
        <w:rPr>
          <w:rFonts w:ascii="Calibri" w:cs="Calibri" w:eastAsia="Calibri" w:hAnsi="Calibri"/>
          <w:b/>
          <w:bCs/>
          <w:color w:val="1E3A5F"/>
          <w:sz w:val="24"/>
          <w:szCs w:val="24"/>
        </w:rPr>
        <w:t xml:space="preserve">6.  Relationship with Members, payment, and commission</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The Partner remains the seller of everything supplied under the Listing. Every transaction between the Partner and a Member is a contract between those two parties alone. UniBlueprint is not a party to that underlying supply of goods or services and is not the seller or the supplier of them, notwithstanding that UniBlueprint processes payment for the transaction under clause 6.5.</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Partner is solely responsible for the goods or services it supplies, and for all obligations owed to Members as a trader under the Consumer Rights Act 2022, the Sale of Goods and Supply of Services Act 1980, and all other applicable consumer legislation.</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The Partner is solely responsible for handling its own refunds, returns, complaints, and disputes with Members.</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Partner will indemnify UniBlueprint against any claim, loss, or cost arising from the goods or services it supplies to a Member, from any breach of clause 5 or clause 6, or from any statement made by the Partner about its own business.</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Where a Member pays through the Platform's checkout, UniBlueprint processes that payment through its payment processor and remits it into the Partner's Connected Account, deducting the Commission due under Schedule 2 as an application fee before remittance. This payment mechanism is one of administration and collection only; it does not make UniBlueprint the seller of the underlying goods or services and does not affect the allocation of responsibility in clauses 6.1 to 6.4.</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The Partner must keep its Connected Account in good standing, including keeping its verification, banking, and tax details current with the payment processor. UniBlueprint may suspend the Listing under clause 19 if the Connected Account is not kept in good standing and payment cannot be remitted as a result.</w:t>
      </w:r>
    </w:p>
    <w:p>
      <w:pPr>
        <w:keepNext/>
        <w:spacing w:after="120" w:before="280"/>
      </w:pPr>
      <w:r>
        <w:rPr>
          <w:rFonts w:ascii="Calibri" w:cs="Calibri" w:eastAsia="Calibri" w:hAnsi="Calibri"/>
          <w:b/>
          <w:bCs/>
          <w:color w:val="1E3A5F"/>
          <w:sz w:val="24"/>
          <w:szCs w:val="24"/>
        </w:rPr>
        <w:t xml:space="preserve">7.  Listing content and brand licence</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The Partner grants UniBlueprint a non-exclusive, royalty-free licence to use its name, trading name, logo, and Offer details for the purpose of operating and promoting the Listing on the Platform and in UniBlueprint marketing.</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That licence ends when the Listing ends, except that UniBlueprint may retain the Partner's name and logo in archived marketing material already published.</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Partner warrants it owns or is licensed to use everything it supplies for the Listing, and that its use by UniBlueprint will not infringe any third party right.</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Partner may state that it is a UniBlueprint partner and use the UniBlueprint name and logo for that purpose, in accordance with any brand guidance UniBlueprint provides. The Partner must not suggest that UniBlueprint endorses, guarantees, or is responsible for its goods or services.</w:t>
      </w:r>
    </w:p>
    <w:p>
      <w:pPr>
        <w:tabs>
          <w:tab w:val="left" w:pos="720"/>
        </w:tabs>
        <w:spacing w:after="120"/>
        <w:ind w:left="720" w:hanging="720"/>
      </w:pPr>
      <w:r>
        <w:rPr>
          <w:rFonts w:ascii="Calibri" w:cs="Calibri" w:eastAsia="Calibri" w:hAnsi="Calibri"/>
          <w:sz w:val="22"/>
          <w:szCs w:val="22"/>
        </w:rPr>
        <w:t xml:space="preserve">7.5</w:t>
      </w:r>
      <w:r>
        <w:rPr>
          <w:rFonts w:ascii="Calibri" w:cs="Calibri" w:eastAsia="Calibri" w:hAnsi="Calibri"/>
          <w:sz w:val="22"/>
          <w:szCs w:val="22"/>
        </w:rPr>
        <w:t xml:space="preserve">	Listing content that is inaccurate, misleading, unlawful, or inappropriate for an audience that includes young people may be amended or removed by UniBlueprint, acting reasonably, on notice to the Partner.</w:t>
      </w:r>
    </w:p>
    <w:p>
      <w:pPr>
        <w:keepNext/>
        <w:spacing w:after="120" w:before="280"/>
      </w:pPr>
      <w:r>
        <w:rPr>
          <w:rFonts w:ascii="Calibri" w:cs="Calibri" w:eastAsia="Calibri" w:hAnsi="Calibri"/>
          <w:b/>
          <w:bCs/>
          <w:color w:val="1E3A5F"/>
          <w:sz w:val="24"/>
          <w:szCs w:val="24"/>
        </w:rPr>
        <w:t xml:space="preserve">8.  Partner obligations</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Partner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keep its Listing information accurate and tell UniBlueprint promptly if anything changes;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hold and maintain all licences, registrations, insurances, and qualifications required by law for its business;</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comply with all applicable law, including consumer, advertising, health and safety, equality, and data protection law;</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treat all Members courteously and without discrimination on any ground protected by the Employment Equality Acts 1998 to 2015 or the Equal Status Acts 2000 to 2018;</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respond to Members who contact it through the Listing within a reasonable time;</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notify UniBlueprint promptly of any complaint by a Member that alleges harm, injury, or misconduct; and</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maintain a Connected Account in good standing throughout the term of this Agreement, as required by clause 6.6.</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If the Partner or its personnel become aware, in the course of providing the Offer, that an individual they are dealing with is under the age of 18, the Partner must immediately stop dealing with that individual under the Listing and notify UniBlueprint without delay.</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The Partner must hold public liability insurance of not less than €1,000,000 and, where it provides services involving physical activity, treatment, or advice, professional indemnity insurance of not less than €250,000, each with a reputable insurer. Evidence must be provided on request.</w:t>
      </w:r>
    </w:p>
    <w:p>
      <w:pPr>
        <w:tabs>
          <w:tab w:pos="720" w:val="left"/>
        </w:tabs>
        <w:spacing w:after="120"/>
        <w:ind w:left="720" w:hanging="720"/>
      </w:pPr>
      <w:r>
        <w:rPr>
          <w:rFonts w:ascii="Calibri" w:hAnsi="Calibri"/>
          <w:sz w:val="22"/>
        </w:rPr>
        <w:t>8.4</w:t>
      </w:r>
      <w:r>
        <w:rPr>
          <w:rFonts w:ascii="Calibri" w:hAnsi="Calibri"/>
          <w:sz w:val="22"/>
        </w:rPr>
        <w:tab/>
        <w:t>The Partner will comply with the UniBlueprint Safeguarding and Code of Conduct Policy, which forms part of this Agreement, where the Partner or its personnel have direct contact with Members in the course of providing the Offer.</w:t>
      </w:r>
    </w:p>
    <w:p>
      <w:pPr>
        <w:keepNext/>
        <w:spacing w:after="120" w:before="280"/>
      </w:pPr>
      <w:r>
        <w:rPr>
          <w:rFonts w:ascii="Calibri" w:cs="Calibri" w:eastAsia="Calibri" w:hAnsi="Calibri"/>
          <w:b/>
          <w:bCs/>
          <w:color w:val="1E3A5F"/>
          <w:sz w:val="24"/>
          <w:szCs w:val="24"/>
        </w:rPr>
        <w:t xml:space="preserve">9.  Off-platform circumvention</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For twelve (12) months after termination, the Partner will not solicit or deal with a Member first introduced to the Partner through the Platform outside the Platform, where the purpose or effect is to avoid Commission that would otherwise be payable under this Agreement.</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Clause 9.1 does not apply to a Member the Partner independently approached, or already knew or had a business relationship with, before that Member was introduced to the Partner through the Platform.</w:t>
      </w:r>
    </w:p>
    <w:p>
      <w:pPr>
        <w:keepNext/>
        <w:spacing w:after="120" w:before="280"/>
      </w:pPr>
      <w:r>
        <w:rPr>
          <w:rFonts w:ascii="Calibri" w:cs="Calibri" w:eastAsia="Calibri" w:hAnsi="Calibri"/>
          <w:b/>
          <w:bCs/>
          <w:color w:val="1E3A5F"/>
          <w:sz w:val="24"/>
          <w:szCs w:val="24"/>
        </w:rPr>
        <w:t xml:space="preserve">10.  Data protection</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Each party is an independent controller in respect of personal data it holds about Members. Neither party processes personal data on the other's behalf under this Agreement.</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UniBlueprint does not transfer Member personal data to the Partner. If a Member chooses to contact the Partner or redeem an Offer, any personal data the Member provides is provided by the Member directly and the Partner is the controller of it.</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Partner will comply with the General Data Protection Regulation (EU) 2016/679 and the Data Protection Act 2018 in respect of all Member personal data it holds, will provide its own privacy notice, and will not use Member data for marketing without a lawful basis.</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Each party will notify the other without undue delay of any personal data breach that affects the other party or Members introduced under this Agreement.</w:t>
      </w:r>
    </w:p>
    <w:p>
      <w:pPr>
        <w:keepNext/>
        <w:spacing w:after="120" w:before="280"/>
      </w:pPr>
      <w:r>
        <w:rPr>
          <w:rFonts w:ascii="Calibri" w:cs="Calibri" w:eastAsia="Calibri" w:hAnsi="Calibri"/>
          <w:b/>
          <w:bCs/>
          <w:color w:val="1E3A5F"/>
          <w:sz w:val="24"/>
          <w:szCs w:val="24"/>
        </w:rPr>
        <w:t xml:space="preserve">11.  Confidentiality</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Neither party will disclose the other's confidential information, including commercial terms, fee levels, Member numbers, and business plans, without consent, except where disclosure is required by law or to professional advisers under a duty of confidence.</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Without limiting clause 11.1, any Commission rate negotiated under Payment Option B is confidential and must not be disclosed by either party to any other partner, coach, or third party.</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This obligation continues for three (3) years after termination.</w:t>
      </w:r>
    </w:p>
    <w:p>
      <w:pPr>
        <w:keepNext/>
        <w:spacing w:after="120" w:before="280"/>
      </w:pPr>
      <w:r>
        <w:rPr>
          <w:rFonts w:ascii="Calibri" w:cs="Calibri" w:eastAsia="Calibri" w:hAnsi="Calibri"/>
          <w:b/>
          <w:bCs/>
          <w:color w:val="1E3A5F"/>
          <w:sz w:val="24"/>
          <w:szCs w:val="24"/>
        </w:rPr>
        <w:t xml:space="preserve">12.  Records and audit</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The Partner will keep accurate records of all transactions with Members made under the Listing for six (6) years.</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UniBlueprint may, on reasonable notice, audit or request evidence of those records to the extent necessary to verify Commission calculated and paid under this Agreement.</w:t>
      </w:r>
    </w:p>
    <w:p>
      <w:pPr>
        <w:keepNext/>
        <w:spacing w:after="120" w:before="280"/>
      </w:pPr>
      <w:r>
        <w:rPr>
          <w:rFonts w:ascii="Calibri" w:cs="Calibri" w:eastAsia="Calibri" w:hAnsi="Calibri"/>
          <w:b/>
          <w:bCs/>
          <w:color w:val="1E3A5F"/>
          <w:sz w:val="24"/>
          <w:szCs w:val="24"/>
        </w:rPr>
        <w:t xml:space="preserve">13.  Set-off</w:t>
      </w:r>
    </w:p>
    <w:p>
      <w:pPr>
        <w:tabs>
          <w:tab w:val="left" w:pos="720"/>
        </w:tabs>
        <w:spacing w:after="120"/>
        <w:ind w:left="720" w:hanging="720"/>
      </w:pPr>
      <w:r>
        <w:rPr>
          <w:rFonts w:ascii="Calibri" w:cs="Calibri" w:eastAsia="Calibri" w:hAnsi="Calibri"/>
          <w:sz w:val="22"/>
          <w:szCs w:val="22"/>
        </w:rPr>
        <w:t xml:space="preserve">13.1</w:t>
      </w:r>
      <w:r>
        <w:rPr>
          <w:rFonts w:ascii="Calibri" w:cs="Calibri" w:eastAsia="Calibri" w:hAnsi="Calibri"/>
          <w:sz w:val="22"/>
          <w:szCs w:val="22"/>
        </w:rPr>
        <w:t xml:space="preserve">	UniBlueprint may set off any amount owed to it by the Partner under this Agreement against any amount due to the Partner.</w:t>
      </w:r>
    </w:p>
    <w:p>
      <w:pPr>
        <w:keepNext/>
        <w:spacing w:after="120" w:before="280"/>
      </w:pPr>
      <w:r>
        <w:rPr>
          <w:rFonts w:ascii="Calibri" w:cs="Calibri" w:eastAsia="Calibri" w:hAnsi="Calibri"/>
          <w:b/>
          <w:bCs/>
          <w:color w:val="1E3A5F"/>
          <w:sz w:val="24"/>
          <w:szCs w:val="24"/>
        </w:rPr>
        <w:t xml:space="preserve">14.  Warranties</w:t>
      </w:r>
    </w:p>
    <w:p>
      <w:pPr>
        <w:tabs>
          <w:tab w:val="left" w:pos="720"/>
        </w:tabs>
        <w:spacing w:after="120"/>
        <w:ind w:left="720" w:hanging="720"/>
      </w:pPr>
      <w:r>
        <w:rPr>
          <w:rFonts w:ascii="Calibri" w:cs="Calibri" w:eastAsia="Calibri" w:hAnsi="Calibri"/>
          <w:sz w:val="22"/>
          <w:szCs w:val="22"/>
        </w:rPr>
        <w:t xml:space="preserve">14.1</w:t>
      </w:r>
      <w:r>
        <w:rPr>
          <w:rFonts w:ascii="Calibri" w:cs="Calibri" w:eastAsia="Calibri" w:hAnsi="Calibri"/>
          <w:sz w:val="22"/>
          <w:szCs w:val="22"/>
        </w:rPr>
        <w:t xml:space="preserve">	Each party warrants that it has full power and authority to enter into and perform this Agreement.</w:t>
      </w:r>
    </w:p>
    <w:p>
      <w:pPr>
        <w:keepNext/>
        <w:spacing w:after="120" w:before="280"/>
      </w:pPr>
      <w:r>
        <w:rPr>
          <w:rFonts w:ascii="Calibri" w:cs="Calibri" w:eastAsia="Calibri" w:hAnsi="Calibri"/>
          <w:b/>
          <w:bCs/>
          <w:color w:val="1E3A5F"/>
          <w:sz w:val="24"/>
          <w:szCs w:val="24"/>
        </w:rPr>
        <w:t xml:space="preserve">15.  Anti-bribery and corruption</w:t>
      </w:r>
    </w:p>
    <w:p>
      <w:pPr>
        <w:tabs>
          <w:tab w:val="left" w:pos="720"/>
        </w:tabs>
        <w:spacing w:after="120"/>
        <w:ind w:left="720" w:hanging="720"/>
      </w:pPr>
      <w:r>
        <w:rPr>
          <w:rFonts w:ascii="Calibri" w:cs="Calibri" w:eastAsia="Calibri" w:hAnsi="Calibri"/>
          <w:sz w:val="22"/>
          <w:szCs w:val="22"/>
        </w:rPr>
        <w:t xml:space="preserve">15.1</w:t>
      </w:r>
      <w:r>
        <w:rPr>
          <w:rFonts w:ascii="Calibri" w:cs="Calibri" w:eastAsia="Calibri" w:hAnsi="Calibri"/>
          <w:sz w:val="22"/>
          <w:szCs w:val="22"/>
        </w:rPr>
        <w:t xml:space="preserve">	Each party will comply with the Criminal Justice (Corruption Offences) Act 2018 and will not offer, give, solicit, or accept any bribe or other corrupt advantage in connection with this Agreement.</w:t>
      </w:r>
    </w:p>
    <w:p>
      <w:pPr>
        <w:keepNext/>
        <w:spacing w:after="120" w:before="280"/>
      </w:pPr>
      <w:r>
        <w:rPr>
          <w:rFonts w:ascii="Calibri" w:cs="Calibri" w:eastAsia="Calibri" w:hAnsi="Calibri"/>
          <w:b/>
          <w:bCs/>
          <w:color w:val="1E3A5F"/>
          <w:sz w:val="24"/>
          <w:szCs w:val="24"/>
        </w:rPr>
        <w:t xml:space="preserve">16.  Publicity</w:t>
      </w:r>
    </w:p>
    <w:p>
      <w:pPr>
        <w:tabs>
          <w:tab w:val="left" w:pos="720"/>
        </w:tabs>
        <w:spacing w:after="120"/>
        <w:ind w:left="720" w:hanging="720"/>
      </w:pPr>
      <w:r>
        <w:rPr>
          <w:rFonts w:ascii="Calibri" w:cs="Calibri" w:eastAsia="Calibri" w:hAnsi="Calibri"/>
          <w:sz w:val="22"/>
          <w:szCs w:val="22"/>
        </w:rPr>
        <w:t xml:space="preserve">16.1</w:t>
      </w:r>
      <w:r>
        <w:rPr>
          <w:rFonts w:ascii="Calibri" w:cs="Calibri" w:eastAsia="Calibri" w:hAnsi="Calibri"/>
          <w:sz w:val="22"/>
          <w:szCs w:val="22"/>
        </w:rPr>
        <w:t xml:space="preserve">	Neither party will issue a press release or public announcement about the other or this Agreement, beyond the ordinary operation of the Listing, without the other's prior consent.</w:t>
      </w:r>
    </w:p>
    <w:p>
      <w:pPr>
        <w:keepNext/>
        <w:spacing w:after="120" w:before="280"/>
      </w:pPr>
      <w:r>
        <w:rPr>
          <w:rFonts w:ascii="Calibri" w:cs="Calibri" w:eastAsia="Calibri" w:hAnsi="Calibri"/>
          <w:b/>
          <w:bCs/>
          <w:color w:val="1E3A5F"/>
          <w:sz w:val="24"/>
          <w:szCs w:val="24"/>
        </w:rPr>
        <w:t xml:space="preserve">17.  Liability</w:t>
      </w:r>
    </w:p>
    <w:p>
      <w:pPr>
        <w:tabs>
          <w:tab w:val="left" w:pos="720"/>
        </w:tabs>
        <w:spacing w:after="120"/>
        <w:ind w:left="720" w:hanging="720"/>
      </w:pPr>
      <w:r>
        <w:rPr>
          <w:rFonts w:ascii="Calibri" w:cs="Calibri" w:eastAsia="Calibri" w:hAnsi="Calibri"/>
          <w:sz w:val="22"/>
          <w:szCs w:val="22"/>
        </w:rPr>
        <w:t xml:space="preserve">17.1</w:t>
      </w:r>
      <w:r>
        <w:rPr>
          <w:rFonts w:ascii="Calibri" w:cs="Calibri" w:eastAsia="Calibri" w:hAnsi="Calibri"/>
          <w:sz w:val="22"/>
          <w:szCs w:val="22"/>
        </w:rPr>
        <w:t xml:space="preserve">	Nothing in this Agreement limits liability for death or personal injury caused by negligence, for fraud or fraudulent misrepresentation, or for anything that cannot lawfully be limited.</w:t>
      </w:r>
    </w:p>
    <w:p>
      <w:pPr>
        <w:tabs>
          <w:tab w:val="left" w:pos="720"/>
        </w:tabs>
        <w:spacing w:after="120"/>
        <w:ind w:left="720" w:hanging="720"/>
      </w:pPr>
      <w:r>
        <w:rPr>
          <w:rFonts w:ascii="Calibri" w:cs="Calibri" w:eastAsia="Calibri" w:hAnsi="Calibri"/>
          <w:sz w:val="22"/>
          <w:szCs w:val="22"/>
        </w:rPr>
        <w:t xml:space="preserve">17.2</w:t>
      </w:r>
      <w:r>
        <w:rPr>
          <w:rFonts w:ascii="Calibri" w:cs="Calibri" w:eastAsia="Calibri" w:hAnsi="Calibri"/>
          <w:sz w:val="22"/>
          <w:szCs w:val="22"/>
        </w:rPr>
        <w:t xml:space="preserve">	Subject to clause 17.1, UniBlueprint's total liability to the Partner under or in connection with this Agreement is limited to the greater of (a) the total Tier Fees and Commission paid by the Partner in the twelve (12) months before the claim arose, and (b) €500.</w:t>
      </w:r>
    </w:p>
    <w:p>
      <w:pPr>
        <w:tabs>
          <w:tab w:val="left" w:pos="720"/>
        </w:tabs>
        <w:spacing w:after="120"/>
        <w:ind w:left="720" w:hanging="720"/>
      </w:pPr>
      <w:r>
        <w:rPr>
          <w:rFonts w:ascii="Calibri" w:cs="Calibri" w:eastAsia="Calibri" w:hAnsi="Calibri"/>
          <w:sz w:val="22"/>
          <w:szCs w:val="22"/>
        </w:rPr>
        <w:t xml:space="preserve">17.3</w:t>
      </w:r>
      <w:r>
        <w:rPr>
          <w:rFonts w:ascii="Calibri" w:cs="Calibri" w:eastAsia="Calibri" w:hAnsi="Calibri"/>
          <w:sz w:val="22"/>
          <w:szCs w:val="22"/>
        </w:rPr>
        <w:t xml:space="preserve">	UniBlueprint does not guarantee any level of Listing views, enquiries, redemptions, sales, or revenue. Nothing said or written before this Agreement about likely results forms part of it.</w:t>
      </w:r>
    </w:p>
    <w:p>
      <w:pPr>
        <w:tabs>
          <w:tab w:val="left" w:pos="720"/>
        </w:tabs>
        <w:spacing w:after="120"/>
        <w:ind w:left="720" w:hanging="720"/>
      </w:pPr>
      <w:r>
        <w:rPr>
          <w:rFonts w:ascii="Calibri" w:cs="Calibri" w:eastAsia="Calibri" w:hAnsi="Calibri"/>
          <w:sz w:val="22"/>
          <w:szCs w:val="22"/>
        </w:rPr>
        <w:t xml:space="preserve">17.4</w:t>
      </w:r>
      <w:r>
        <w:rPr>
          <w:rFonts w:ascii="Calibri" w:cs="Calibri" w:eastAsia="Calibri" w:hAnsi="Calibri"/>
          <w:sz w:val="22"/>
          <w:szCs w:val="22"/>
        </w:rPr>
        <w:t xml:space="preserve">	Neither party is liable to the other for loss of profit, loss of business, or indirect or consequential loss.</w:t>
      </w:r>
    </w:p>
    <w:p>
      <w:pPr>
        <w:tabs>
          <w:tab w:val="left" w:pos="720"/>
        </w:tabs>
        <w:spacing w:after="120"/>
        <w:ind w:left="720" w:hanging="720"/>
      </w:pPr>
      <w:r>
        <w:rPr>
          <w:rFonts w:ascii="Calibri" w:cs="Calibri" w:eastAsia="Calibri" w:hAnsi="Calibri"/>
          <w:sz w:val="22"/>
          <w:szCs w:val="22"/>
        </w:rPr>
        <w:t xml:space="preserve">17.5</w:t>
      </w:r>
      <w:r>
        <w:rPr>
          <w:rFonts w:ascii="Calibri" w:cs="Calibri" w:eastAsia="Calibri" w:hAnsi="Calibri"/>
          <w:sz w:val="22"/>
          <w:szCs w:val="22"/>
        </w:rPr>
        <w:t xml:space="preserve">	The limit in clause 17.2 does not apply to the Partner's indemnity in clause 6.4.</w:t>
      </w:r>
    </w:p>
    <w:p>
      <w:pPr>
        <w:keepNext/>
        <w:spacing w:after="120" w:before="280"/>
      </w:pPr>
      <w:r>
        <w:rPr>
          <w:rFonts w:ascii="Calibri" w:cs="Calibri" w:eastAsia="Calibri" w:hAnsi="Calibri"/>
          <w:b/>
          <w:bCs/>
          <w:color w:val="1E3A5F"/>
          <w:sz w:val="24"/>
          <w:szCs w:val="24"/>
        </w:rPr>
        <w:t xml:space="preserve">18.  Force majeure</w:t>
      </w:r>
    </w:p>
    <w:p>
      <w:pPr>
        <w:tabs>
          <w:tab w:val="left" w:pos="720"/>
        </w:tabs>
        <w:spacing w:after="120"/>
        <w:ind w:left="720" w:hanging="720"/>
      </w:pPr>
      <w:r>
        <w:rPr>
          <w:rFonts w:ascii="Calibri" w:cs="Calibri" w:eastAsia="Calibri" w:hAnsi="Calibri"/>
          <w:sz w:val="22"/>
          <w:szCs w:val="22"/>
        </w:rPr>
        <w:t xml:space="preserve">18.1</w:t>
      </w:r>
      <w:r>
        <w:rPr>
          <w:rFonts w:ascii="Calibri" w:cs="Calibri" w:eastAsia="Calibri" w:hAnsi="Calibri"/>
          <w:sz w:val="22"/>
          <w:szCs w:val="22"/>
        </w:rPr>
        <w:t xml:space="preserve">	Neither party is liable for a failure or delay in performing its obligations (other than a payment obligation already due) caused by an event beyond its reasonable control, and that party's obligations are suspended for as long as the event continues.</w:t>
      </w:r>
    </w:p>
    <w:p>
      <w:pPr>
        <w:tabs>
          <w:tab w:val="left" w:pos="720"/>
        </w:tabs>
        <w:spacing w:after="120"/>
        <w:ind w:left="720" w:hanging="720"/>
      </w:pPr>
      <w:r>
        <w:rPr>
          <w:rFonts w:ascii="Calibri" w:cs="Calibri" w:eastAsia="Calibri" w:hAnsi="Calibri"/>
          <w:sz w:val="22"/>
          <w:szCs w:val="22"/>
        </w:rPr>
        <w:t xml:space="preserve">18.2</w:t>
      </w:r>
      <w:r>
        <w:rPr>
          <w:rFonts w:ascii="Calibri" w:cs="Calibri" w:eastAsia="Calibri" w:hAnsi="Calibri"/>
          <w:sz w:val="22"/>
          <w:szCs w:val="22"/>
        </w:rPr>
        <w:t xml:space="preserve">	If a force majeure event continues for sixty (60) consecutive days, either party may terminate this Agreement by written notice.</w:t>
      </w:r>
    </w:p>
    <w:p>
      <w:pPr>
        <w:keepNext/>
        <w:spacing w:after="120" w:before="280"/>
      </w:pPr>
      <w:r>
        <w:rPr>
          <w:rFonts w:ascii="Calibri" w:cs="Calibri" w:eastAsia="Calibri" w:hAnsi="Calibri"/>
          <w:b/>
          <w:bCs/>
          <w:color w:val="1E3A5F"/>
          <w:sz w:val="24"/>
          <w:szCs w:val="24"/>
        </w:rPr>
        <w:t xml:space="preserve">19.  Suspension and termination</w:t>
      </w:r>
    </w:p>
    <w:p>
      <w:pPr>
        <w:tabs>
          <w:tab w:val="left" w:pos="720"/>
        </w:tabs>
        <w:spacing w:after="120"/>
        <w:ind w:left="720" w:hanging="720"/>
      </w:pPr>
      <w:r>
        <w:rPr>
          <w:rFonts w:ascii="Calibri" w:cs="Calibri" w:eastAsia="Calibri" w:hAnsi="Calibri"/>
          <w:sz w:val="22"/>
          <w:szCs w:val="22"/>
        </w:rPr>
        <w:t xml:space="preserve">19.1</w:t>
      </w:r>
      <w:r>
        <w:rPr>
          <w:rFonts w:ascii="Calibri" w:cs="Calibri" w:eastAsia="Calibri" w:hAnsi="Calibri"/>
          <w:sz w:val="22"/>
          <w:szCs w:val="22"/>
        </w:rPr>
        <w:t xml:space="preserve">	UniBlueprint may suspend or remove the Listing immediately if it reasonably believes the Partner has breached clause 5, 6, 8, or 9, or that the Listing presents a risk to Members. UniBlueprint will notify the Partner and give it a reasonable opportunity to remedy where the breach is capable of remedy.</w:t>
      </w:r>
    </w:p>
    <w:p>
      <w:pPr>
        <w:tabs>
          <w:tab w:val="left" w:pos="720"/>
        </w:tabs>
        <w:spacing w:after="120"/>
        <w:ind w:left="720" w:hanging="720"/>
      </w:pPr>
      <w:r>
        <w:rPr>
          <w:rFonts w:ascii="Calibri" w:cs="Calibri" w:eastAsia="Calibri" w:hAnsi="Calibri"/>
          <w:sz w:val="22"/>
          <w:szCs w:val="22"/>
        </w:rPr>
        <w:t xml:space="preserve">19.2</w:t>
      </w:r>
      <w:r>
        <w:rPr>
          <w:rFonts w:ascii="Calibri" w:cs="Calibri" w:eastAsia="Calibri" w:hAnsi="Calibri"/>
          <w:sz w:val="22"/>
          <w:szCs w:val="22"/>
        </w:rPr>
        <w:t xml:space="preserve">	Either party may terminate immediately on written notice if the other commits a material breach that is not remedied within fourteen (14) days of notice, or becomes insolvent, enters examinership, has a receiver appointed, or ceases to trade.</w:t>
      </w:r>
    </w:p>
    <w:p>
      <w:pPr>
        <w:tabs>
          <w:tab w:val="left" w:pos="720"/>
        </w:tabs>
        <w:spacing w:after="120"/>
        <w:ind w:left="720" w:hanging="720"/>
      </w:pPr>
      <w:r>
        <w:rPr>
          <w:rFonts w:ascii="Calibri" w:cs="Calibri" w:eastAsia="Calibri" w:hAnsi="Calibri"/>
          <w:sz w:val="22"/>
          <w:szCs w:val="22"/>
        </w:rPr>
        <w:t xml:space="preserve">19.3</w:t>
      </w:r>
      <w:r>
        <w:rPr>
          <w:rFonts w:ascii="Calibri" w:cs="Calibri" w:eastAsia="Calibri" w:hAnsi="Calibri"/>
          <w:sz w:val="22"/>
          <w:szCs w:val="22"/>
        </w:rPr>
        <w:t xml:space="preserve">	On termination the Listing is removed. Clauses 6.1 to 6.4, 7.2, 9, 10, 11, 12, 17, and 20 survive.</w:t>
      </w:r>
    </w:p>
    <w:p>
      <w:pPr>
        <w:keepNext/>
        <w:spacing w:after="120" w:before="280"/>
      </w:pPr>
      <w:r>
        <w:rPr>
          <w:rFonts w:ascii="Calibri" w:cs="Calibri" w:eastAsia="Calibri" w:hAnsi="Calibri"/>
          <w:b/>
          <w:bCs/>
          <w:color w:val="1E3A5F"/>
          <w:sz w:val="24"/>
          <w:szCs w:val="24"/>
        </w:rPr>
        <w:t xml:space="preserve">20.  General</w:t>
      </w:r>
    </w:p>
    <w:p>
      <w:pPr>
        <w:tabs>
          <w:tab w:val="left" w:pos="720"/>
        </w:tabs>
        <w:spacing w:after="120"/>
        <w:ind w:left="720" w:hanging="720"/>
      </w:pPr>
      <w:r>
        <w:rPr>
          <w:rFonts w:ascii="Calibri" w:cs="Calibri" w:eastAsia="Calibri" w:hAnsi="Calibri"/>
          <w:sz w:val="22"/>
          <w:szCs w:val="22"/>
        </w:rPr>
        <w:t xml:space="preserve">20.1</w:t>
      </w:r>
      <w:r>
        <w:rPr>
          <w:rFonts w:ascii="Calibri" w:cs="Calibri" w:eastAsia="Calibri" w:hAnsi="Calibri"/>
          <w:sz w:val="22"/>
          <w:szCs w:val="22"/>
        </w:rPr>
        <w:t xml:space="preserve">	Nothing in this Agreement creates a partnership, joint venture, agency, or employment relationship between the parties. Neither party may bind the other.</w:t>
      </w:r>
    </w:p>
    <w:p>
      <w:pPr>
        <w:tabs>
          <w:tab w:val="left" w:pos="720"/>
        </w:tabs>
        <w:spacing w:after="120"/>
        <w:ind w:left="720" w:hanging="720"/>
      </w:pPr>
      <w:r>
        <w:rPr>
          <w:rFonts w:ascii="Calibri" w:cs="Calibri" w:eastAsia="Calibri" w:hAnsi="Calibri"/>
          <w:sz w:val="22"/>
          <w:szCs w:val="22"/>
        </w:rPr>
        <w:t xml:space="preserve">20.2</w:t>
      </w:r>
      <w:r>
        <w:rPr>
          <w:rFonts w:ascii="Calibri" w:cs="Calibri" w:eastAsia="Calibri" w:hAnsi="Calibri"/>
          <w:sz w:val="22"/>
          <w:szCs w:val="22"/>
        </w:rPr>
        <w:tab/>
        <w:t>This Agreement, with its Schedules and, where clause 8.4 applies, the Safeguarding and Code of Conduct Policy, is the entire agreement between the parties on its subject matter and supersedes anything said or written before it.</w:t>
      </w:r>
    </w:p>
    <w:p>
      <w:pPr>
        <w:tabs>
          <w:tab w:val="left" w:pos="720"/>
        </w:tabs>
        <w:spacing w:after="120"/>
        <w:ind w:left="720" w:hanging="720"/>
      </w:pPr>
      <w:r>
        <w:rPr>
          <w:rFonts w:ascii="Calibri" w:cs="Calibri" w:eastAsia="Calibri" w:hAnsi="Calibri"/>
          <w:sz w:val="22"/>
          <w:szCs w:val="22"/>
        </w:rPr>
        <w:t xml:space="preserve">20.3</w:t>
      </w:r>
      <w:r>
        <w:rPr>
          <w:rFonts w:ascii="Calibri" w:cs="Calibri" w:eastAsia="Calibri" w:hAnsi="Calibri"/>
          <w:sz w:val="22"/>
          <w:szCs w:val="22"/>
        </w:rPr>
        <w:t xml:space="preserve">	Each party will comply with all applicable law in performing this Agreement.</w:t>
      </w:r>
    </w:p>
    <w:p>
      <w:pPr>
        <w:tabs>
          <w:tab w:val="left" w:pos="720"/>
        </w:tabs>
        <w:spacing w:after="120"/>
        <w:ind w:left="720" w:hanging="720"/>
      </w:pPr>
      <w:r>
        <w:rPr>
          <w:rFonts w:ascii="Calibri" w:cs="Calibri" w:eastAsia="Calibri" w:hAnsi="Calibri"/>
          <w:sz w:val="22"/>
          <w:szCs w:val="22"/>
        </w:rPr>
        <w:t xml:space="preserve">20.4</w:t>
      </w:r>
      <w:r>
        <w:rPr>
          <w:rFonts w:ascii="Calibri" w:cs="Calibri" w:eastAsia="Calibri" w:hAnsi="Calibri"/>
          <w:sz w:val="22"/>
          <w:szCs w:val="22"/>
        </w:rPr>
        <w:t xml:space="preserve">	Any variation must be in writing and signed by both parties, except that a change to Schedule 1 made under clause 5.2 or a Tier or Payment Option update made under clause 4 recorded in Schedule 2 may be made by written notice.</w:t>
      </w:r>
    </w:p>
    <w:p>
      <w:pPr>
        <w:tabs>
          <w:tab w:val="left" w:pos="720"/>
        </w:tabs>
        <w:spacing w:after="120"/>
        <w:ind w:left="720" w:hanging="720"/>
      </w:pPr>
      <w:r>
        <w:rPr>
          <w:rFonts w:ascii="Calibri" w:cs="Calibri" w:eastAsia="Calibri" w:hAnsi="Calibri"/>
          <w:sz w:val="22"/>
          <w:szCs w:val="22"/>
        </w:rPr>
        <w:t xml:space="preserve">20.5</w:t>
      </w:r>
      <w:r>
        <w:rPr>
          <w:rFonts w:ascii="Calibri" w:cs="Calibri" w:eastAsia="Calibri" w:hAnsi="Calibri"/>
          <w:sz w:val="22"/>
          <w:szCs w:val="22"/>
        </w:rPr>
        <w:t xml:space="preserve">	The Partner may not assign this Agreement without UniBlueprint's written consent.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 xml:space="preserve">20.6</w:t>
      </w:r>
      <w:r>
        <w:rPr>
          <w:rFonts w:ascii="Calibri" w:cs="Calibri" w:eastAsia="Calibri" w:hAnsi="Calibri"/>
          <w:sz w:val="22"/>
          <w:szCs w:val="22"/>
        </w:rPr>
        <w:t xml:space="preserve">	If any provision is held unenforceable, it is severed and the remainder continues in force.</w:t>
      </w:r>
    </w:p>
    <w:p>
      <w:pPr>
        <w:tabs>
          <w:tab w:val="left" w:pos="720"/>
        </w:tabs>
        <w:spacing w:after="120"/>
        <w:ind w:left="720" w:hanging="720"/>
      </w:pPr>
      <w:r>
        <w:rPr>
          <w:rFonts w:ascii="Calibri" w:cs="Calibri" w:eastAsia="Calibri" w:hAnsi="Calibri"/>
          <w:sz w:val="22"/>
          <w:szCs w:val="22"/>
        </w:rPr>
        <w:t xml:space="preserve">20.7</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 xml:space="preserve">20.8</w:t>
      </w:r>
      <w:r>
        <w:rPr>
          <w:rFonts w:ascii="Calibri" w:cs="Calibri" w:eastAsia="Calibri" w:hAnsi="Calibri"/>
          <w:sz w:val="22"/>
          <w:szCs w:val="22"/>
        </w:rPr>
        <w:t xml:space="preserve">	Notices must be in writing and sent to the email addresses in Schedule 3. Notice is deemed given on the next business day after sending.</w:t>
      </w:r>
    </w:p>
    <w:p>
      <w:pPr>
        <w:tabs>
          <w:tab w:val="left" w:pos="720"/>
        </w:tabs>
        <w:spacing w:after="120"/>
        <w:ind w:left="720" w:hanging="720"/>
      </w:pPr>
      <w:r>
        <w:rPr>
          <w:rFonts w:ascii="Calibri" w:cs="Calibri" w:eastAsia="Calibri" w:hAnsi="Calibri"/>
          <w:sz w:val="22"/>
          <w:szCs w:val="22"/>
        </w:rPr>
        <w:t xml:space="preserve">20.9</w:t>
      </w:r>
      <w:r>
        <w:rPr>
          <w:rFonts w:ascii="Calibri" w:cs="Calibri" w:eastAsia="Calibri" w:hAnsi="Calibri"/>
          <w:sz w:val="22"/>
          <w:szCs w:val="22"/>
        </w:rPr>
        <w:t xml:space="preserve">	A person who is not a party to this Agreement has no right to enforce it.</w:t>
      </w:r>
    </w:p>
    <w:p>
      <w:pPr>
        <w:tabs>
          <w:tab w:val="left" w:pos="720"/>
        </w:tabs>
        <w:spacing w:after="120"/>
        <w:ind w:left="720" w:hanging="720"/>
      </w:pPr>
      <w:r>
        <w:rPr>
          <w:rFonts w:ascii="Calibri" w:cs="Calibri" w:eastAsia="Calibri" w:hAnsi="Calibri"/>
          <w:sz w:val="22"/>
          <w:szCs w:val="22"/>
        </w:rPr>
        <w:t xml:space="preserve">20.10</w:t>
      </w:r>
      <w:r>
        <w:rPr>
          <w:rFonts w:ascii="Calibri" w:cs="Calibri" w:eastAsia="Calibri" w:hAnsi="Calibri"/>
          <w:sz w:val="22"/>
          <w:szCs w:val="22"/>
        </w:rPr>
        <w:t xml:space="preserve">	This Agreement is governed by the laws of Ireland. The parties submit to the exclusive jurisdiction of the courts of Ireland.</w:t>
      </w:r>
    </w:p>
    <w:p>
      <w:pPr>
        <w:tabs>
          <w:tab w:val="left" w:pos="720"/>
        </w:tabs>
        <w:spacing w:after="120"/>
        <w:ind w:left="720" w:hanging="720"/>
      </w:pPr>
      <w:r>
        <w:rPr>
          <w:rFonts w:ascii="Calibri" w:cs="Calibri" w:eastAsia="Calibri" w:hAnsi="Calibri"/>
          <w:sz w:val="22"/>
          <w:szCs w:val="22"/>
        </w:rPr>
        <w:t xml:space="preserve">20.11</w:t>
      </w:r>
      <w:r>
        <w:rPr>
          <w:rFonts w:ascii="Calibri" w:cs="Calibri" w:eastAsia="Calibri" w:hAnsi="Calibri"/>
          <w:sz w:val="22"/>
          <w:szCs w:val="22"/>
        </w:rPr>
        <w:t xml:space="preserve">	This Agreement may be signed in counterparts, including by electronic signature, each of which is an original and all of which together form one agreement.</w:t>
      </w:r>
    </w:p>
    <w:p>
      <w:pPr>
        <w:keepNext/>
        <w:spacing w:after="120" w:before="280"/>
      </w:pPr>
      <w:r>
        <w:rPr>
          <w:rFonts w:ascii="Calibri" w:cs="Calibri" w:eastAsia="Calibri" w:hAnsi="Calibri"/>
          <w:b/>
          <w:bCs/>
          <w:color w:val="1E3A5F"/>
          <w:sz w:val="24"/>
          <w:szCs w:val="24"/>
        </w:rPr>
        <w:t xml:space="preserve">Schedule 1: 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Partner name as listed</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[AS SHOWN ON PLATFORM]</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Category</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Health &amp; Fitness / Beauty / Food &amp; Drink / Services]</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Offer to Members</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[e.g. 15% off all treatments]</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Conditions</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valid student ID, off-peak only, not with other offers]</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Proof of membership accepted</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[e.g. in-app member screen]</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Locations covered</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[ADDRESS(ES) OR "online"]</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Offer start date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[DATE]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Offer review date</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w:t>
            </w:r>
          </w:p>
        </w:tc>
      </w:tr>
    </w:tbl>
    <w:p>
      <w:pPr>
        <w:keepNext/>
        <w:spacing w:after="120" w:before="280"/>
      </w:pPr>
      <w:r>
        <w:rPr>
          <w:rFonts w:ascii="Calibri" w:cs="Calibri" w:eastAsia="Calibri" w:hAnsi="Calibri"/>
          <w:b/>
          <w:bCs/>
          <w:color w:val="1E3A5F"/>
          <w:sz w:val="24"/>
          <w:szCs w:val="24"/>
        </w:rPr>
        <w:t xml:space="preserve">Schedule 2: Tier, Payment Option and Fees</w:t>
      </w:r>
    </w:p>
    <w:p>
      <w:pPr>
        <w:spacing w:after="120"/>
      </w:pPr>
      <w:r>
        <w:rPr>
          <w:rFonts w:ascii="Calibri" w:cs="Calibri" w:eastAsia="Calibri" w:hAnsi="Calibri"/>
          <w:b w:val="false"/>
          <w:bCs w:val="false"/>
          <w:i w:val="false"/>
          <w:iCs w:val="false"/>
          <w:sz w:val="22"/>
          <w:szCs w:val="22"/>
        </w:rPr>
        <w:t xml:space="preserve">No fee or Commission of any kind is payable in respect of the Free Trial Month. The following applies only to the Paid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Assigned Tier</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[Access / Plus / Signature]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Selected Payment Option</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[Option A / Option B]</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Option A monthly Tier Fee / Commission %</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[AS PER CLAUSE 4.1 TABLE FOR ASSIGNED TIER]</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Option B negotiated Commission % (confidential) and date agreed</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 / DATE]</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Paid Term length</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[e.g. 12 months from end of Free Trial Month]</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Payment method</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Via Partner's Connected Account; Commission deducted in real time at the point of transaction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Late payment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Interest under the European Communities (Late Payment in Commercial Transactions) Regulations 2012</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Founding Partner Badge eligibility</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 NO]</w:t>
            </w:r>
          </w:p>
        </w:tc>
      </w:tr>
    </w:tbl>
    <w:p>
      <w:pPr>
        <w:keepNext/>
        <w:spacing w:after="120" w:before="280"/>
      </w:pPr>
      <w:r>
        <w:rPr>
          <w:rFonts w:ascii="Calibri" w:cs="Calibri" w:eastAsia="Calibri" w:hAnsi="Calibri"/>
          <w:b/>
          <w:bCs/>
          <w:color w:val="1E3A5F"/>
          <w:sz w:val="24"/>
          <w:szCs w:val="24"/>
        </w:rPr>
        <w:t xml:space="preserve">Schedule 3: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8"/>
        <w:gridCol w:w="2753"/>
        <w:gridCol w:w="3579"/>
      </w:tblGrid>
      <w:tr>
        <w:trPr>
          <w:tblHeader/>
        </w:trPr>
        <w:tc>
          <w:tcPr>
            <w:tcW w:type="dxa" w:w="3028"/>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75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3579"/>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Email / phone</w:t>
            </w:r>
          </w:p>
        </w:tc>
      </w:tr>
      <w:tr>
        <w:tc>
          <w:tcPr>
            <w:tcW w:type="dxa" w:w="3028"/>
            <w:tcMar>
              <w:top w:type="dxa" w:w="80"/>
              <w:left w:type="dxa" w:w="120"/>
              <w:bottom w:type="dxa" w:w="80"/>
              <w:right w:type="dxa" w:w="120"/>
            </w:tcMar>
          </w:tcPr>
          <w:p>
            <w:r>
              <w:rPr>
                <w:rFonts w:ascii="Calibri" w:cs="Calibri" w:eastAsia="Calibri" w:hAnsi="Calibri"/>
                <w:b w:val="false"/>
                <w:bCs w:val="false"/>
                <w:sz w:val="20"/>
                <w:szCs w:val="20"/>
              </w:rPr>
              <w:t xml:space="preserve">Partnership Contact (UniBlueprint)</w:t>
            </w:r>
          </w:p>
        </w:tc>
        <w:tc>
          <w:tcPr>
            <w:tcW w:type="dxa" w:w="2753"/>
            <w:tcMar>
              <w:top w:type="dxa" w:w="80"/>
              <w:left w:type="dxa" w:w="120"/>
              <w:bottom w:type="dxa" w:w="80"/>
              <w:right w:type="dxa" w:w="120"/>
            </w:tcMar>
          </w:tcPr>
          <w:p>
            <w:r>
              <w:rPr>
                <w:rFonts w:ascii="Calibri" w:cs="Calibri" w:eastAsia="Calibri" w:hAnsi="Calibri"/>
                <w:b w:val="false"/>
                <w:bCs w:val="false"/>
                <w:sz w:val="20"/>
                <w:szCs w:val="20"/>
              </w:rPr>
              <w:t xml:space="preserve">[NAME]</w:t>
            </w:r>
          </w:p>
        </w:tc>
        <w:tc>
          <w:tcPr>
            <w:tcW w:type="dxa" w:w="3579"/>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028"/>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 operations</w:t>
            </w:r>
          </w:p>
        </w:tc>
        <w:tc>
          <w:tcPr>
            <w:tcW w:type="dxa" w:w="27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Operations</w:t>
            </w:r>
          </w:p>
        </w:tc>
        <w:tc>
          <w:tcPr>
            <w:tcW w:type="dxa" w:w="3579"/>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r>
        <w:tc>
          <w:tcPr>
            <w:tcW w:type="dxa" w:w="3028"/>
            <w:tcMar>
              <w:top w:type="dxa" w:w="80"/>
              <w:left w:type="dxa" w:w="120"/>
              <w:bottom w:type="dxa" w:w="80"/>
              <w:right w:type="dxa" w:w="120"/>
            </w:tcMar>
          </w:tcPr>
          <w:p>
            <w:r>
              <w:rPr>
                <w:rFonts w:ascii="Calibri" w:cs="Calibri" w:eastAsia="Calibri" w:hAnsi="Calibri"/>
                <w:b w:val="false"/>
                <w:bCs w:val="false"/>
                <w:sz w:val="20"/>
                <w:szCs w:val="20"/>
              </w:rPr>
              <w:t xml:space="preserve">Partner primary contact</w:t>
            </w:r>
          </w:p>
        </w:tc>
        <w:tc>
          <w:tcPr>
            <w:tcW w:type="dxa" w:w="2753"/>
            <w:tcMar>
              <w:top w:type="dxa" w:w="80"/>
              <w:left w:type="dxa" w:w="120"/>
              <w:bottom w:type="dxa" w:w="80"/>
              <w:right w:type="dxa" w:w="120"/>
            </w:tcMar>
          </w:tcPr>
          <w:p>
            <w:r>
              <w:rPr>
                <w:rFonts w:ascii="Calibri" w:cs="Calibri" w:eastAsia="Calibri" w:hAnsi="Calibri"/>
                <w:b w:val="false"/>
                <w:bCs w:val="false"/>
                <w:sz w:val="20"/>
                <w:szCs w:val="20"/>
              </w:rPr>
              <w:t xml:space="preserve">[NAME]</w:t>
            </w:r>
          </w:p>
        </w:tc>
        <w:tc>
          <w:tcPr>
            <w:tcW w:type="dxa" w:w="3579"/>
            <w:tcMar>
              <w:top w:type="dxa" w:w="80"/>
              <w:left w:type="dxa" w:w="120"/>
              <w:bottom w:type="dxa" w:w="80"/>
              <w:right w:type="dxa" w:w="120"/>
            </w:tcMar>
          </w:tcPr>
          <w:p>
            <w:r>
              <w:rPr>
                <w:rFonts w:ascii="Calibri" w:cs="Calibri" w:eastAsia="Calibri" w:hAnsi="Calibri"/>
                <w:b w:val="false"/>
                <w:bCs w:val="false"/>
                <w:sz w:val="20"/>
                <w:szCs w:val="20"/>
              </w:rPr>
              <w:t xml:space="preserve">[EMAIL / PHONE]</w:t>
            </w:r>
          </w:p>
        </w:tc>
      </w:tr>
      <w:tr>
        <w:tc>
          <w:tcPr>
            <w:tcW w:type="dxa" w:w="3028"/>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Partner billing contact</w:t>
            </w:r>
          </w:p>
        </w:tc>
        <w:tc>
          <w:tcPr>
            <w:tcW w:type="dxa" w:w="27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w:t>
            </w:r>
          </w:p>
        </w:tc>
        <w:tc>
          <w:tcPr>
            <w:tcW w:type="dxa" w:w="3579"/>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028"/>
            <w:tcMar>
              <w:top w:type="dxa" w:w="80"/>
              <w:left w:type="dxa" w:w="120"/>
              <w:bottom w:type="dxa" w:w="80"/>
              <w:right w:type="dxa" w:w="120"/>
            </w:tcMar>
          </w:tcPr>
          <w:p>
            <w:r>
              <w:rPr>
                <w:rFonts w:ascii="Calibri" w:cs="Calibri" w:eastAsia="Calibri" w:hAnsi="Calibri"/>
                <w:b w:val="false"/>
                <w:bCs w:val="false"/>
                <w:sz w:val="20"/>
                <w:szCs w:val="20"/>
              </w:rPr>
              <w:t xml:space="preserve">Stripe Connected Account reference</w:t>
            </w:r>
          </w:p>
        </w:tc>
        <w:tc>
          <w:tcPr>
            <w:tcW w:type="dxa" w:w="2753"/>
            <w:tcMar>
              <w:top w:type="dxa" w:w="80"/>
              <w:left w:type="dxa" w:w="120"/>
              <w:bottom w:type="dxa" w:w="80"/>
              <w:right w:type="dxa" w:w="120"/>
            </w:tcMar>
          </w:tcPr>
          <w:p>
            <w:r>
              <w:rPr>
                <w:rFonts w:ascii="Calibri" w:cs="Calibri" w:eastAsia="Calibri" w:hAnsi="Calibri"/>
                <w:b w:val="false"/>
                <w:bCs w:val="false"/>
                <w:sz w:val="20"/>
                <w:szCs w:val="20"/>
              </w:rPr>
              <w:t xml:space="preserve">[CONNECTED ACCOUNT ID]</w:t>
            </w:r>
          </w:p>
        </w:tc>
        <w:tc>
          <w:tcPr>
            <w:tcW w:type="dxa" w:w="3579"/>
            <w:tcMar>
              <w:top w:type="dxa" w:w="80"/>
              <w:left w:type="dxa" w:w="120"/>
              <w:bottom w:type="dxa" w:w="80"/>
              <w:right w:type="dxa" w:w="120"/>
            </w:tcMar>
          </w:tcPr>
          <w:p>
            <w:r>
              <w:rPr>
                <w:rFonts w:ascii="Calibri" w:cs="Calibri" w:eastAsia="Calibri" w:hAnsi="Calibri"/>
                <w:b w:val="false"/>
                <w:bCs w:val="false"/>
                <w:sz w:val="20"/>
                <w:szCs w:val="20"/>
              </w:rPr>
              <w:t xml:space="preserve">n/a</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 This Agreement may be signed in counterparts and by electronic signature, each of which is an original.</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For and on behalf of the Partner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UBP-PARTNER-v2.0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Partner Agreement</dc:title>
  <dc:creator>UniBlueprint</dc:creator>
  <dc:description>UniBlueprint Partner Agreement</dc:description>
  <cp:lastModifiedBy>Un-named</cp:lastModifiedBy>
  <cp:revision>1</cp:revision>
  <dcterms:created xsi:type="dcterms:W3CDTF">2026-09-19T13:50:03.270Z</dcterms:created>
  <dcterms:modified xsi:type="dcterms:W3CDTF">2026-09-19T13:50:03.270Z</dcterms:modified>
</cp:coreProperties>
</file>

<file path=docProps/custom.xml><?xml version="1.0" encoding="utf-8"?>
<Properties xmlns="http://schemas.openxmlformats.org/officeDocument/2006/custom-properties" xmlns:vt="http://schemas.openxmlformats.org/officeDocument/2006/docPropsVTypes"/>
</file>