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Marketing Contributor Agreement</w:t>
      </w:r>
    </w:p>
    <w:p>
      <w:pPr>
        <w:pBdr>
          <w:bottom w:val="single" w:color="BFBFBF" w:sz="6" w:space="8"/>
        </w:pBdr>
        <w:spacing w:after="300"/>
      </w:pPr>
      <w:r>
        <w:rPr>
          <w:rFonts w:ascii="Calibri" w:cs="Calibri" w:eastAsia="Calibri" w:hAnsi="Calibri"/>
          <w:color w:val="595959"/>
          <w:sz w:val="22"/>
          <w:szCs w:val="22"/>
        </w:rPr>
        <w:t xml:space="preserve">Paid per deliverable</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[CONTRIBUTOR FULL NAME] of [ADDRESS] (the "Contributor", "you").</w:t>
      </w:r>
    </w:p>
    <w:p>
      <w:pPr>
        <w:spacing w:after="120"/>
      </w:pPr>
      <w:r>
        <w:rPr>
          <w:rFonts w:ascii="Calibri" w:cs="Calibri" w:eastAsia="Calibri" w:hAnsi="Calibri"/>
          <w:b/>
          <w:bCs/>
          <w:i w:val="false"/>
          <w:iCs w:val="false"/>
          <w:sz w:val="22"/>
          <w:szCs w:val="22"/>
        </w:rPr>
        <w:t xml:space="preserve">Dated: [DATE]</w:t>
      </w:r>
    </w:p>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marketing content and campaign work on a project basis.</w:t>
      </w:r>
    </w:p>
    <w:p>
      <w:pPr>
        <w:spacing w:after="120"/>
      </w:pPr>
      <w:r>
        <w:rPr>
          <w:rFonts w:ascii="Calibri" w:cs="Calibri" w:eastAsia="Calibri" w:hAnsi="Calibri"/>
          <w:b w:val="false"/>
          <w:bCs w:val="false"/>
          <w:i w:val="false"/>
          <w:iCs w:val="false"/>
          <w:sz w:val="22"/>
          <w:szCs w:val="22"/>
        </w:rPr>
        <w:t xml:space="preserve">B.  The Contributor will produce agreed deliverables and be paid for each one on acceptance.</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Contributor will produce the deliverables described in Schedule 1 and any further deliverable agreed in writing under clause 2.</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Each deliverable must meet the brief, specification, and brand guidelines supplied by UniBlueprint.</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The Contributor will comply with the UniBlueprint brand guidelines, tone of voice, and the writing conventions supplied, including the requirement to use inclusive language referring to "young people" rather than any narrower term.</w:t>
      </w:r>
    </w:p>
    <w:p>
      <w:pPr>
        <w:keepNext/>
        <w:spacing w:after="120" w:before="280"/>
      </w:pPr>
      <w:r>
        <w:rPr>
          <w:rFonts w:ascii="Calibri" w:cs="Calibri" w:eastAsia="Calibri" w:hAnsi="Calibri"/>
          <w:b/>
          <w:bCs/>
          <w:color w:val="1E3A5F"/>
          <w:sz w:val="24"/>
          <w:szCs w:val="24"/>
        </w:rPr>
        <w:t xml:space="preserve">2.  How work is commissioned</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UniBlueprint commissions work by issuing a written brief specifying the deliverable, the fee, the deadline, and the acceptance criteria. A brief may be issued by email or through the project tool the parties use.</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The Contributor may accept or decline any brief. Work begins only when the Contributor accepts in writing.</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No fee is payable for work not commissioned under clause 2.1. The Contributor should not carry out speculative work in expectation of payment.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A brief may be varied by written agreement. Where a variation materially increases the work, the fee is renegotiated before the additional work begins.</w:t>
      </w:r>
    </w:p>
    <w:p>
      <w:pPr>
        <w:keepNext/>
        <w:spacing w:after="120" w:before="280"/>
      </w:pPr>
      <w:r>
        <w:rPr>
          <w:rFonts w:ascii="Calibri" w:cs="Calibri" w:eastAsia="Calibri" w:hAnsi="Calibri"/>
          <w:b/>
          <w:bCs/>
          <w:color w:val="1E3A5F"/>
          <w:sz w:val="24"/>
          <w:szCs w:val="24"/>
        </w:rPr>
        <w:t xml:space="preserve">3.  Payment per deliverable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Contributor is paid the fee stated in the accepted brief, or where none is stated, the rate for that deliverable type in Schedule 1.</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A fee becomes payable when the deliverable is delivered and accepted under clause 4.</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Contributor will invoice monthly for deliverables accepted in that month. UniBlueprint will pay within thirty (30) days of a valid invoice, by bank transfer to the account in Schedule 2.</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Where a brief is cancelled by UniBlueprint after acceptance but before delivery, the Contributor is paid for work actually done, being not less than fifty per cent (50%) of the fee if the Contributor had substantially begun.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UniBlueprint reimburses only pre-approved expenses, on production of receipts. Stock assets, fonts, and licences must be approved in writing before purchase.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Contributor is responsible for their own tax. Clause 5 applies.</w:t>
      </w:r>
    </w:p>
    <w:p>
      <w:pPr>
        <w:keepNext/>
        <w:spacing w:after="120" w:before="280"/>
      </w:pPr>
      <w:r>
        <w:rPr>
          <w:rFonts w:ascii="Calibri" w:cs="Calibri" w:eastAsia="Calibri" w:hAnsi="Calibri"/>
          <w:b/>
          <w:bCs/>
          <w:color w:val="1E3A5F"/>
          <w:sz w:val="24"/>
          <w:szCs w:val="24"/>
        </w:rPr>
        <w:t xml:space="preserve">4.  Delivery, revisions, and acceptance</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Contributor will deliver by the deadline in the brief, in the file formats specified, together with editable source files.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UniBlueprint will review within five (5) business days and either accept the deliverable or give written comments.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fee includes up to two (2) rounds of revision against the original brief. Further rounds, or revisions arising from a change of brief, are charged at the rate in Schedule 1.</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If UniBlueprint does not respond within ten (10) business days of delivery, the deliverable is deemed accepted.</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If after two rounds of revision a deliverable still does not meet the brief, UniBlueprint may reject it and pay fifty per cent (50%) of the fee, and neither party has any further obligation in respect of that brief.</w:t>
      </w:r>
    </w:p>
    <w:p>
      <w:pPr>
        <w:keepNext/>
        <w:spacing w:after="120" w:before="280"/>
      </w:pPr>
      <w:r>
        <w:rPr>
          <w:rFonts w:ascii="Calibri" w:cs="Calibri" w:eastAsia="Calibri" w:hAnsi="Calibri"/>
          <w:b/>
          <w:bCs/>
          <w:color w:val="1E3A5F"/>
          <w:sz w:val="24"/>
          <w:szCs w:val="24"/>
        </w:rPr>
        <w:t xml:space="preserve">5.  Status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Contributor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Contributor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UniBlueprint is not obliged to offer work and the Contributor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Contributor is responsible for their own income tax, USC, PRSI, and VAT, and will register with the Revenue Commissioners as required. The Contributor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Contributor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5.6</w:t>
      </w:r>
      <w:r>
        <w:rPr>
          <w:rFonts w:ascii="Calibri" w:cs="Calibri" w:eastAsia="Calibri" w:hAnsi="Calibri"/>
          <w:sz w:val="22"/>
          <w:szCs w:val="22"/>
        </w:rPr>
        <w:t xml:space="preserve">	The Contributor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6.  Advertising and content standards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All content must comply with the Advertising Standards Authority for Ireland Code, the Consumer Protection Act 2007, and the ePrivacy Regulations (S.I. No. 336 of 2011).</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Contributor will not include any claim about UniBlueprint's services, pricing, results, or user numbers that has not been supplied in writing by UniBlueprint, and will not create a testimonial, review, or statistic that is not genuine.</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Content must be appropriate for an audience that includes young people and must not be associated with alcohol, gambling, vaping, or any age-restricted product.</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Where a deliverable is an advertisement or paid promotion, the Contributor will ensure it is clearly identifiable as such.</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Contributor will obtain a signed release from any identifiable person appearing in a deliverable, and will provide copies to UniBlueprint on delivery.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Contributor will use only assets that are properly licensed for the intended use, will record the licence terms, and will provide proof of licence with each delivery. The Contributor must not use an asset under a personal or non-commercial licence for UniBlueprint work.</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Contributor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Contributor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Contributor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Contributor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Contributor owned before this Agreement or created independently of it ("Background IP"), the Contributor retains ownership of that Background IP and grants UniBlueprint a perpetual, irrevocable, worldwide, royalty-free licence to use it as part of the Work Product. The Contributor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Contributor warrants that the Work Product is original, does not infringe any third party right, and that any third party material included is properly licensed and identified. The Contributor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Confidentiality</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Contributor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This obligation does not apply to information that is public through no fault of the Contributor, that the Contributor already lawfully held, or that must be disclosed by law. Where disclosure is required by law the Contributor will notify UniBlueprint first where lawful to do so.</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Nothing in this Agreement prevents the Contributor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9.  Data protection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Where the Contributor processes personal data on UniBlueprint's behalf, the Contributor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The Contributor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The Contributor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On termination the Contributor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10.  Conduct</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The Contributor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Contributor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Contributor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The Contributor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11.  Non-solicitation</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For twelve (12) months after termination the Contributor will not deliberately solicit away from UniBlueprint any person who was, in the twelve (12) months before termination, a UniBlueprint partner, coach, handler, or team member with whom the Contributor personally dealt.</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This clause does not prevent the Contributor from working for a competitor, from responding to an approach they did not solicit, from placing a general advertisement, or from dealing with anyone they knew independently of UniBlueprint. Nothing in this Agreement is intended to restrain the Contributor's trade beyond what is necessary to protect UniBlueprint's legitimate business interests.</w:t>
      </w:r>
    </w:p>
    <w:p>
      <w:pPr>
        <w:spacing w:before="280" w:after="120"/>
      </w:pPr>
      <w:r>
        <w:rPr>
          <w:rFonts w:ascii="Calibri" w:hAnsi="Calibri"/>
          <w:b/>
          <w:sz w:val="24"/>
        </w:rPr>
        <w:t>12.  Liability</w:t>
      </w:r>
    </w:p>
    <w:p>
      <w:pPr>
        <w:tabs>
          <w:tab w:pos="720" w:val="left"/>
        </w:tabs>
        <w:spacing w:after="120"/>
        <w:ind w:left="720" w:hanging="720"/>
      </w:pPr>
      <w:r>
        <w:rPr>
          <w:rFonts w:ascii="Calibri" w:hAnsi="Calibri"/>
          <w:sz w:val="22"/>
        </w:rPr>
        <w:t>12.1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12.2</w:t>
      </w:r>
      <w:r>
        <w:rPr>
          <w:rFonts w:ascii="Calibri" w:hAnsi="Calibri"/>
          <w:sz w:val="22"/>
        </w:rPr>
        <w:tab/>
        <w:t>Subject to clause 12.1, UniBlueprint's total liability to the Contributor under or in connection with this Agreement is limited to the total fees paid or payable to the Contributor in the twelve (12) months before the claim arose.</w:t>
      </w:r>
    </w:p>
    <w:p>
      <w:pPr>
        <w:tabs>
          <w:tab w:pos="720" w:val="left"/>
        </w:tabs>
        <w:spacing w:after="120"/>
        <w:ind w:left="720" w:hanging="720"/>
      </w:pPr>
      <w:r>
        <w:rPr>
          <w:rFonts w:ascii="Calibri" w:hAnsi="Calibri"/>
          <w:sz w:val="22"/>
        </w:rPr>
        <w:t>12.3</w:t>
      </w:r>
      <w:r>
        <w:rPr>
          <w:rFonts w:ascii="Calibri" w:hAnsi="Calibri"/>
          <w:sz w:val="22"/>
        </w:rPr>
        <w:tab/>
        <w:t>Subject to clause 12.1, the Contributor's total liability to UniBlueprint under or in connection with this Agreement is limited to the total fees paid or payable to the Contributor in the twelve (12) months before the claim arose, except that this limit does not apply to the Contributor's indemnity in clause 5.4 or to the Contributor's warranty and indemnity in clause 7.6.</w:t>
      </w:r>
    </w:p>
    <w:p>
      <w:pPr>
        <w:tabs>
          <w:tab w:pos="720" w:val="left"/>
        </w:tabs>
        <w:spacing w:after="120"/>
        <w:ind w:left="720" w:hanging="720"/>
      </w:pPr>
      <w:r>
        <w:rPr>
          <w:rFonts w:ascii="Calibri" w:hAnsi="Calibri"/>
          <w:sz w:val="22"/>
        </w:rPr>
        <w:t>12.4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13.  Termination</w:t>
      </w:r>
    </w:p>
    <w:p>
      <w:pPr>
        <w:tabs>
          <w:tab w:val="left" w:pos="720"/>
        </w:tabs>
        <w:spacing w:after="120"/>
        <w:ind w:left="720" w:hanging="720"/>
      </w:pPr>
      <w:r>
        <w:rPr>
          <w:rFonts w:ascii="Calibri" w:cs="Calibri" w:eastAsia="Calibri" w:hAnsi="Calibri"/>
          <w:sz w:val="22"/>
          <w:szCs w:val="22"/>
        </w:rPr>
        <w:t>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13.2</w:t>
      </w:r>
      <w:r>
        <w:rPr>
          <w:rFonts w:ascii="Calibri" w:cs="Calibri" w:eastAsia="Calibri" w:hAnsi="Calibri"/>
          <w:sz w:val="22"/>
          <w:szCs w:val="22"/>
        </w:rPr>
        <w:t xml:space="preserve">	UniBlueprint may terminate immediately if the Contributor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13.3</w:t>
      </w:r>
      <w:r>
        <w:rPr>
          <w:rFonts w:ascii="Calibri" w:cs="Calibri" w:eastAsia="Calibri" w:hAnsi="Calibri"/>
          <w:sz w:val="22"/>
          <w:szCs w:val="22"/>
        </w:rPr>
        <w:t xml:space="preserve">	On termination the Contributor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14.  General</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The Contributor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Deliverable rates</w:t>
      </w:r>
    </w:p>
    <w:p>
      <w:pPr>
        <w:spacing w:after="120"/>
      </w:pPr>
      <w:r>
        <w:rPr>
          <w:rFonts w:ascii="Calibri" w:cs="Calibri" w:eastAsia="Calibri" w:hAnsi="Calibri"/>
          <w:b w:val="false"/>
          <w:bCs w:val="false"/>
          <w:i w:val="false"/>
          <w:iCs w:val="false"/>
          <w:sz w:val="22"/>
          <w:szCs w:val="22"/>
        </w:rPr>
        <w:t xml:space="preserve">Rates apply where a brief does not state a fee. All amounts exclude VAT.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25"/>
        <w:gridCol w:w="4680"/>
        <w:gridCol w:w="1755"/>
      </w:tblGrid>
      <w:tr>
        <w:trPr>
          <w:tblHeader/>
        </w:trPr>
        <w:tc>
          <w:tcPr>
            <w:tcW w:type="dxa" w:w="292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Deliverable</w:t>
            </w:r>
          </w:p>
        </w:tc>
        <w:tc>
          <w:tcPr>
            <w:tcW w:type="dxa" w:w="46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tcW w:type="dxa" w:w="175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Fee</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Social post (static)</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Single graphic, copy, and caption</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Social post (video / reel)</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Up to 60 seconds, edited, captioned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Campaign set</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[X] assets on one theme across formats</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Blog article</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Researched, [X] words, SEO-optimised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Email campaign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Copy plus build in the email tool</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Landing page copy</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Full page, headline to CTA</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Brand asset / illustration</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Original, source files supplied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Photography / video shoot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Per half day, edited selects supplied</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tcMar>
              <w:top w:type="dxa" w:w="80"/>
              <w:left w:type="dxa" w:w="120"/>
              <w:bottom w:type="dxa" w:w="80"/>
              <w:right w:type="dxa" w:w="120"/>
            </w:tcMar>
          </w:tcPr>
          <w:p>
            <w:r>
              <w:rPr>
                <w:rFonts w:ascii="Calibri" w:cs="Calibri" w:eastAsia="Calibri" w:hAnsi="Calibri"/>
                <w:b w:val="false"/>
                <w:bCs w:val="false"/>
                <w:sz w:val="20"/>
                <w:szCs w:val="20"/>
              </w:rPr>
              <w:t xml:space="preserve">Additional revision round</w:t>
            </w:r>
          </w:p>
        </w:tc>
        <w:tc>
          <w:tcPr>
            <w:tcW w:type="dxa" w:w="4680"/>
            <w:tcMar>
              <w:top w:type="dxa" w:w="80"/>
              <w:left w:type="dxa" w:w="120"/>
              <w:bottom w:type="dxa" w:w="80"/>
              <w:right w:type="dxa" w:w="120"/>
            </w:tcMar>
          </w:tcPr>
          <w:p>
            <w:r>
              <w:rPr>
                <w:rFonts w:ascii="Calibri" w:cs="Calibri" w:eastAsia="Calibri" w:hAnsi="Calibri"/>
                <w:b w:val="false"/>
                <w:bCs w:val="false"/>
                <w:sz w:val="20"/>
                <w:szCs w:val="20"/>
              </w:rPr>
              <w:t xml:space="preserve">Beyond the two included</w:t>
            </w:r>
          </w:p>
        </w:tc>
        <w:tc>
          <w:tcPr>
            <w:tcW w:type="dxa" w:w="1755"/>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r>
        <w:tc>
          <w:tcPr>
            <w:tcW w:type="dxa" w:w="292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Campaign strategy document</w:t>
            </w:r>
          </w:p>
        </w:tc>
        <w:tc>
          <w:tcPr>
            <w:tcW w:type="dxa" w:w="468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Plan, channels, measurement</w:t>
            </w:r>
          </w:p>
        </w:tc>
        <w:tc>
          <w:tcPr>
            <w:tcW w:type="dxa" w:w="1755"/>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w:t>
            </w:r>
          </w:p>
        </w:tc>
      </w:tr>
    </w:tbl>
    <w:p>
      <w:pPr>
        <w:keepNext/>
        <w:spacing w:after="120" w:before="280"/>
      </w:pPr>
      <w:r>
        <w:rPr>
          <w:rFonts w:ascii="Calibri" w:cs="Calibri" w:eastAsia="Calibri" w:hAnsi="Calibri"/>
          <w:b/>
          <w:bCs/>
          <w:color w:val="1E3A5F"/>
          <w:sz w:val="24"/>
          <w:szCs w:val="24"/>
        </w:rPr>
        <w:t xml:space="preserve">Schedule 2: Contributor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Specialism</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design / copy / video / paid social]</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VAT registered?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Contributor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UBP-MARKETING-v1.0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Marketing Contributor Agreement</dc:title>
  <dc:creator>UniBlueprint</dc:creator>
  <dc:description>UniBlueprint Marketing Contributor Agreement</dc:description>
  <cp:lastModifiedBy>Un-named</cp:lastModifiedBy>
  <cp:revision>1</cp:revision>
  <dcterms:created xsi:type="dcterms:W3CDTF">2026-09-19T13:50:03.569Z</dcterms:created>
  <dcterms:modified xsi:type="dcterms:W3CDTF">2026-09-19T13:50:03.569Z</dcterms:modified>
</cp:coreProperties>
</file>

<file path=docProps/custom.xml><?xml version="1.0" encoding="utf-8"?>
<Properties xmlns="http://schemas.openxmlformats.org/officeDocument/2006/custom-properties" xmlns:vt="http://schemas.openxmlformats.org/officeDocument/2006/docPropsVTypes"/>
</file>