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 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website Join page states that Uni Coaches "keep the majority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Document 03 is now built around that commitment: Payment Option B defaults to an 85% Coach Share / 15% Platform Fee split, and Payment Option A gives 90% (Access Tier) or 92% (Plus Tier) — all consistent with “majority”. If a Payment Option B rate is individually renegotiated under clause 7.1 to below 50%, that no longer matches the public claim and must be confirmed as an intended departure from it before the agreement is issued.</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If you want a different split for any Tier or Payment Option, change the website’s wording first. Issuing a contract at a rate that contradicts your published promise is the kind of inconsistency the WRC or a consumer protection body looks for.</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Deadlines built into the documents and the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Decision Point (30 days after the Listing Live Date)</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continuation (Payment Option A or B) or make contact with its Partnership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3.1</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At least 5 days before the Decision Point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written reminder, or the Decision Point extends by 5 days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At the Decision Point, if neither of the above happens</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3.5</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days after the Coach's profile first becomes visible (end of the Free Trial Period)</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Agreement issued confirming Tier and Payment Option (defaults to 85% Coach Share / 15% Platform Fee if the Coach does not choose)</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clauses 7.1 and 7.3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At any time, including during the trial</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Either party may end the Coach's engagement on notice; no charge or debt arises during the Free Trial Period</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21.2</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coach revenue share framing on the Join page (currently "majority of every booking", with the Tier/Payment Option percentages set out in document 03 clause 7.1)</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Guide</dc:title>
  <dc:creator>UniBlueprint</dc:creator>
  <dc:description>UniBlueprint Contract Suite: Guide</dc:description>
  <cp:lastModifiedBy>Un-named</cp:lastModifiedBy>
  <cp:revision>1</cp:revision>
  <dcterms:created xsi:type="dcterms:W3CDTF">2026-10-16T01:12:34.191Z</dcterms:created>
  <dcterms:modified xsi:type="dcterms:W3CDTF">2026-10-16T01:12:34.191Z</dcterms:modified>
</cp:coreProperties>
</file>

<file path=docProps/custom.xml><?xml version="1.0" encoding="utf-8"?>
<Properties xmlns="http://schemas.openxmlformats.org/officeDocument/2006/custom-properties" xmlns:vt="http://schemas.openxmlformats.org/officeDocument/2006/docPropsVTypes"/>
</file>