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EDA &amp; Data Preparation Summary Report</w:t>
      </w:r>
    </w:p>
    <w:p/>
    <w:p>
      <w:r>
        <w:t>Project scope: Classification of Inventario status and Lob Associata from product code and description data.</w:t>
      </w:r>
    </w:p>
    <w:p/>
    <w:p>
      <w:pPr>
        <w:pStyle w:val="Heading2"/>
      </w:pPr>
      <w:r>
        <w:t>1) Initial Data and Business Glossary (Data Profiling)</w:t>
      </w:r>
    </w:p>
    <w:p/>
    <w:p>
      <w:r>
        <w:t>Data source</w:t>
      </w:r>
    </w:p>
    <w:p>
      <w:pPr>
        <w:pStyle w:val="ListBullet"/>
      </w:pPr>
      <w:r>
        <w:t>File: DB for DTM Project.xlsx</w:t>
      </w:r>
    </w:p>
    <w:p>
      <w:pPr>
        <w:pStyle w:val="ListBullet"/>
      </w:pPr>
      <w:r>
        <w:t>Main sheet: Associazioni Cod. Art. - LOB</w:t>
      </w:r>
    </w:p>
    <w:p/>
    <w:p>
      <w:r>
        <w:t>Initial dataset profile</w:t>
      </w:r>
    </w:p>
    <w:p>
      <w:pPr>
        <w:pStyle w:val="ListBullet"/>
      </w:pPr>
      <w:r>
        <w:t>Rows: 22,655</w:t>
      </w:r>
    </w:p>
    <w:p>
      <w:pPr>
        <w:pStyle w:val="ListBullet"/>
      </w:pPr>
      <w:r>
        <w:t>Core fields: 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Business meaning</w:t>
            </w:r>
          </w:p>
        </w:tc>
        <w:tc>
          <w:tcPr>
            <w:tcW w:type="dxa" w:w="2160"/>
          </w:tcPr>
          <w:p>
            <w:r>
              <w:t>Modeling role</w:t>
            </w:r>
          </w:p>
        </w:tc>
        <w:tc>
          <w:tcPr>
            <w:tcW w:type="dxa" w:w="2160"/>
          </w:tcPr>
          <w:p>
            <w:r>
              <w:t>Type / quality</w:t>
            </w:r>
          </w:p>
        </w:tc>
      </w:tr>
      <w:tr>
        <w:tc>
          <w:tcPr>
            <w:tcW w:type="dxa" w:w="2160"/>
          </w:tcPr>
          <w:p>
            <w:r>
              <w:t>Codice Articolo</w:t>
            </w:r>
          </w:p>
        </w:tc>
        <w:tc>
          <w:tcPr>
            <w:tcW w:type="dxa" w:w="2160"/>
          </w:tcPr>
          <w:p>
            <w:r>
              <w:t>Product/article code</w:t>
            </w:r>
          </w:p>
        </w:tc>
        <w:tc>
          <w:tcPr>
            <w:tcW w:type="dxa" w:w="2160"/>
          </w:tcPr>
          <w:p>
            <w:r>
              <w:t>Input key feature</w:t>
            </w:r>
          </w:p>
        </w:tc>
        <w:tc>
          <w:tcPr>
            <w:tcW w:type="dxa" w:w="2160"/>
          </w:tcPr>
          <w:p>
            <w:r>
              <w:t>object, 22,655 non-null, 22,655 unique</w:t>
            </w:r>
          </w:p>
        </w:tc>
      </w:tr>
      <w:tr>
        <w:tc>
          <w:tcPr>
            <w:tcW w:type="dxa" w:w="2160"/>
          </w:tcPr>
          <w:p>
            <w:r>
              <w:t>Descrizione Articolo</w:t>
            </w:r>
          </w:p>
        </w:tc>
        <w:tc>
          <w:tcPr>
            <w:tcW w:type="dxa" w:w="2160"/>
          </w:tcPr>
          <w:p>
            <w:r>
              <w:t>Free-text product description</w:t>
            </w:r>
          </w:p>
        </w:tc>
        <w:tc>
          <w:tcPr>
            <w:tcW w:type="dxa" w:w="2160"/>
          </w:tcPr>
          <w:p>
            <w:r>
              <w:t>Input text feature</w:t>
            </w:r>
          </w:p>
        </w:tc>
        <w:tc>
          <w:tcPr>
            <w:tcW w:type="dxa" w:w="2160"/>
          </w:tcPr>
          <w:p>
            <w:r>
              <w:t>object, 22,595 non-null, 60 null (0.265%), 21,283 unique</w:t>
            </w:r>
          </w:p>
        </w:tc>
      </w:tr>
      <w:tr>
        <w:tc>
          <w:tcPr>
            <w:tcW w:type="dxa" w:w="2160"/>
          </w:tcPr>
          <w:p>
            <w:r>
              <w:t>Lob Associata</w:t>
            </w:r>
          </w:p>
        </w:tc>
        <w:tc>
          <w:tcPr>
            <w:tcW w:type="dxa" w:w="2160"/>
          </w:tcPr>
          <w:p>
            <w:r>
              <w:t>Line-of-business code</w:t>
            </w:r>
          </w:p>
        </w:tc>
        <w:tc>
          <w:tcPr>
            <w:tcW w:type="dxa" w:w="2160"/>
          </w:tcPr>
          <w:p>
            <w:r>
              <w:t>Primary classification target</w:t>
            </w:r>
          </w:p>
        </w:tc>
        <w:tc>
          <w:tcPr>
            <w:tcW w:type="dxa" w:w="2160"/>
          </w:tcPr>
          <w:p>
            <w:r>
              <w:t>int64, 22,655 non-null, 117 unique</w:t>
            </w:r>
          </w:p>
        </w:tc>
      </w:tr>
      <w:tr>
        <w:tc>
          <w:tcPr>
            <w:tcW w:type="dxa" w:w="2160"/>
          </w:tcPr>
          <w:p>
            <w:r>
              <w:t>Nome LOB</w:t>
            </w:r>
          </w:p>
        </w:tc>
        <w:tc>
          <w:tcPr>
            <w:tcW w:type="dxa" w:w="2160"/>
          </w:tcPr>
          <w:p>
            <w:r>
              <w:t>Human-readable LOB name</w:t>
            </w:r>
          </w:p>
        </w:tc>
        <w:tc>
          <w:tcPr>
            <w:tcW w:type="dxa" w:w="2160"/>
          </w:tcPr>
          <w:p>
            <w:r>
              <w:t>Input metadata / validation field</w:t>
            </w:r>
          </w:p>
        </w:tc>
        <w:tc>
          <w:tcPr>
            <w:tcW w:type="dxa" w:w="2160"/>
          </w:tcPr>
          <w:p>
            <w:r>
              <w:t>object, 22,655 non-null, 115 unique</w:t>
            </w:r>
          </w:p>
        </w:tc>
      </w:tr>
      <w:tr>
        <w:tc>
          <w:tcPr>
            <w:tcW w:type="dxa" w:w="2160"/>
          </w:tcPr>
          <w:p>
            <w:r>
              <w:t>Inventario</w:t>
            </w:r>
          </w:p>
        </w:tc>
        <w:tc>
          <w:tcPr>
            <w:tcW w:type="dxa" w:w="2160"/>
          </w:tcPr>
          <w:p>
            <w:r>
              <w:t>Inventory class label</w:t>
            </w:r>
          </w:p>
        </w:tc>
        <w:tc>
          <w:tcPr>
            <w:tcW w:type="dxa" w:w="2160"/>
          </w:tcPr>
          <w:p>
            <w:r>
              <w:t>Secondary target</w:t>
            </w:r>
          </w:p>
        </w:tc>
        <w:tc>
          <w:tcPr>
            <w:tcW w:type="dxa" w:w="2160"/>
          </w:tcPr>
          <w:p>
            <w:r>
              <w:t>object, 22,655 non-null, 3 classes</w:t>
            </w:r>
          </w:p>
        </w:tc>
      </w:tr>
    </w:tbl>
    <w:p/>
    <w:p>
      <w:r>
        <w:t>Inventario class distribution (raw)</w:t>
      </w:r>
    </w:p>
    <w:p>
      <w:pPr>
        <w:pStyle w:val="ListBullet"/>
      </w:pPr>
      <w:r>
        <w:t>Inventario: 19,764</w:t>
      </w:r>
    </w:p>
    <w:p>
      <w:pPr>
        <w:pStyle w:val="ListBullet"/>
      </w:pPr>
      <w:r>
        <w:t>Non in inventario: 2,880</w:t>
      </w:r>
    </w:p>
    <w:p>
      <w:pPr>
        <w:pStyle w:val="ListBullet"/>
      </w:pPr>
      <w:r>
        <w:t>Assistenza: 11</w:t>
      </w:r>
    </w:p>
    <w:p/>
    <w:p>
      <w:pPr>
        <w:pStyle w:val="Heading2"/>
      </w:pPr>
      <w:r>
        <w:t>2) What Drives Classification (Inventario Rules and Vendor Signal)</w:t>
      </w:r>
    </w:p>
    <w:p/>
    <w:p>
      <w:r>
        <w:t>Feature signal ranking confirms that structured code and text anchors drive classification quality.</w:t>
      </w:r>
    </w:p>
    <w:p/>
    <w:p>
      <w:r>
        <w:t>Top signals (dp3_feature_signal.csv):</w:t>
      </w:r>
    </w:p>
    <w:p>
      <w:pPr>
        <w:pStyle w:val="ListBullet"/>
      </w:pPr>
      <w:r>
        <w:t>code_prefix: 0.680 (weighted purity)</w:t>
      </w:r>
    </w:p>
    <w:p>
      <w:pPr>
        <w:pStyle w:val="ListBullet"/>
      </w:pPr>
      <w:r>
        <w:t>first_token: 0.674 (weighted purity)</w:t>
      </w:r>
    </w:p>
    <w:p>
      <w:pPr>
        <w:pStyle w:val="ListBullet"/>
      </w:pPr>
      <w:r>
        <w:t>code_len: 0.359</w:t>
      </w:r>
    </w:p>
    <w:p>
      <w:pPr>
        <w:pStyle w:val="ListBullet"/>
      </w:pPr>
      <w:r>
        <w:t>duration_months: 0.327</w:t>
      </w:r>
    </w:p>
    <w:p>
      <w:pPr>
        <w:pStyle w:val="ListBullet"/>
      </w:pPr>
      <w:r>
        <w:t>brand_vendor: 0.220 (weighted purity)</w:t>
      </w:r>
    </w:p>
    <w:p/>
    <w:p>
      <w:r>
        <w:t>Feature signal chart: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815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p3_feature_sig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DP-3 Feature Signal</w:t>
      </w:r>
    </w:p>
    <w:p/>
    <w:p>
      <w:pPr>
        <w:pStyle w:val="Heading3"/>
      </w:pPr>
      <w:r>
        <w:t>Interpretable code-prefix rules (examples)</w:t>
      </w:r>
    </w:p>
    <w:p>
      <w:r>
        <w:t>Derived from freq_prefix_vs_lob.csv.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Confidence</w:t>
            </w:r>
          </w:p>
        </w:tc>
      </w:tr>
      <w:tr>
        <w:tc>
          <w:tcPr>
            <w:tcW w:type="dxa" w:w="2880"/>
          </w:tcPr>
          <w:p>
            <w:r>
              <w:t>prefix=AIR -&gt; LOB 2001</w:t>
            </w:r>
          </w:p>
        </w:tc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0.938</w:t>
            </w:r>
          </w:p>
        </w:tc>
      </w:tr>
      <w:tr>
        <w:tc>
          <w:tcPr>
            <w:tcW w:type="dxa" w:w="2880"/>
          </w:tcPr>
          <w:p>
            <w:r>
              <w:t>prefix=UCS -&gt; LOB 3009</w:t>
            </w:r>
          </w:p>
        </w:tc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>
              <w:t>0.944</w:t>
            </w:r>
          </w:p>
        </w:tc>
      </w:tr>
      <w:tr>
        <w:tc>
          <w:tcPr>
            <w:tcW w:type="dxa" w:w="2880"/>
          </w:tcPr>
          <w:p>
            <w:r>
              <w:t>prefix=WS -&gt; LOB 2002</w:t>
            </w:r>
          </w:p>
        </w:tc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0.970</w:t>
            </w:r>
          </w:p>
        </w:tc>
      </w:tr>
      <w:tr>
        <w:tc>
          <w:tcPr>
            <w:tcW w:type="dxa" w:w="2880"/>
          </w:tcPr>
          <w:p>
            <w:r>
              <w:t>prefix=UCSC -&gt; LOB 3009</w:t>
            </w:r>
          </w:p>
        </w:tc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0.986</w:t>
            </w:r>
          </w:p>
        </w:tc>
      </w:tr>
      <w:tr>
        <w:tc>
          <w:tcPr>
            <w:tcW w:type="dxa" w:w="2880"/>
          </w:tcPr>
          <w:p>
            <w:r>
              <w:t>prefix=NW -&gt; LOB 3005</w:t>
            </w:r>
          </w:p>
        </w:tc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0.971</w:t>
            </w:r>
          </w:p>
        </w:tc>
      </w:tr>
    </w:tbl>
    <w:p/>
    <w:p>
      <w:pPr>
        <w:pStyle w:val="Heading3"/>
      </w:pPr>
      <w:r>
        <w:t>Inventory keyword rules (examples)</w:t>
      </w:r>
    </w:p>
    <w:p>
      <w:r>
        <w:t>Derived from freq_keywords_vs_inventario.csv.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Confidence</w:t>
            </w:r>
          </w:p>
        </w:tc>
      </w:tr>
      <w:tr>
        <w:tc>
          <w:tcPr>
            <w:tcW w:type="dxa" w:w="2880"/>
          </w:tcPr>
          <w:p>
            <w:r>
              <w:t>keyword="-c" -&gt; Inventario</w:t>
            </w:r>
          </w:p>
        </w:tc>
        <w:tc>
          <w:tcPr>
            <w:tcW w:type="dxa" w:w="2880"/>
          </w:tcPr>
          <w:p>
            <w:r>
              <w:t>291</w:t>
            </w:r>
          </w:p>
        </w:tc>
        <w:tc>
          <w:tcPr>
            <w:tcW w:type="dxa" w:w="2880"/>
          </w:tcPr>
          <w:p>
            <w:r>
              <w:t>0.986</w:t>
            </w:r>
          </w:p>
        </w:tc>
      </w:tr>
      <w:tr>
        <w:tc>
          <w:tcPr>
            <w:tcW w:type="dxa" w:w="2880"/>
          </w:tcPr>
          <w:p>
            <w:r>
              <w:t>keyword="normal" -&gt; Inventario</w:t>
            </w:r>
          </w:p>
        </w:tc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0.939</w:t>
            </w:r>
          </w:p>
        </w:tc>
      </w:tr>
      <w:tr>
        <w:tc>
          <w:tcPr>
            <w:tcW w:type="dxa" w:w="2880"/>
          </w:tcPr>
          <w:p>
            <w:r>
              <w:t>keyword="factory integrated" -&gt; Inventario</w:t>
            </w:r>
          </w:p>
        </w:tc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0.930</w:t>
            </w:r>
          </w:p>
        </w:tc>
      </w:tr>
      <w:tr>
        <w:tc>
          <w:tcPr>
            <w:tcW w:type="dxa" w:w="2880"/>
          </w:tcPr>
          <w:p>
            <w:r>
              <w:t>keyword="sw" -&gt; Inventario</w:t>
            </w:r>
          </w:p>
        </w:tc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0.954</w:t>
            </w:r>
          </w:p>
        </w:tc>
      </w:tr>
      <w:tr>
        <w:tc>
          <w:tcPr>
            <w:tcW w:type="dxa" w:w="2880"/>
          </w:tcPr>
          <w:p>
            <w:r>
              <w:t>keyword="renew" -&gt; Inventario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0.930</w:t>
            </w:r>
          </w:p>
        </w:tc>
      </w:tr>
    </w:tbl>
    <w:p/>
    <w:p>
      <w:pPr>
        <w:pStyle w:val="Heading3"/>
      </w:pPr>
      <w:r>
        <w:t>Vendor effect</w:t>
      </w:r>
    </w:p>
    <w:p>
      <w:r>
        <w:t>Vendor extraction is informative and not marginal:</w:t>
      </w:r>
    </w:p>
    <w:p>
      <w:pPr>
        <w:pStyle w:val="ListBullet"/>
      </w:pPr>
      <w:r>
        <w:t>brand_vendor scored 0.220 in feature signal ranking.</w:t>
      </w:r>
    </w:p>
    <w:p>
      <w:pPr>
        <w:pStyle w:val="ListBullet"/>
      </w:pPr>
      <w:r>
        <w:t>In EDA diagnostics, first_token_brand_precision_proxy = 0.951695 on overlapping known-brand rows.</w:t>
      </w:r>
    </w:p>
    <w:p>
      <w:pPr>
        <w:pStyle w:val="ListBullet"/>
      </w:pPr>
      <w:r>
        <w:t>Rows with recognized vendor label (brand_vendor != unknown): 6,710.</w:t>
      </w:r>
    </w:p>
    <w:p/>
    <w:p>
      <w:pPr>
        <w:pStyle w:val="Heading2"/>
      </w:pPr>
      <w:r>
        <w:t>3) Data Problems and How They Were Resolved</w:t>
      </w:r>
    </w:p>
    <w:p/>
    <w:p>
      <w:pPr>
        <w:pStyle w:val="Heading3"/>
      </w:pPr>
      <w:r>
        <w:t>Main quality issues detected (DU-4)</w:t>
      </w:r>
    </w:p>
    <w:p>
      <w:pPr>
        <w:pStyle w:val="ListBullet"/>
      </w:pPr>
      <w:r>
        <w:t>description_with_multiple_targets: 271 (conflicting descriptions)</w:t>
      </w:r>
    </w:p>
    <w:p>
      <w:pPr>
        <w:pStyle w:val="ListBullet"/>
      </w:pPr>
      <w:r>
        <w:t>blank_description: 61</w:t>
      </w:r>
    </w:p>
    <w:p>
      <w:pPr>
        <w:pStyle w:val="ListBullet"/>
      </w:pPr>
      <w:r>
        <w:t>duplicate_rows_all_cols: 0</w:t>
      </w:r>
    </w:p>
    <w:p>
      <w:pPr>
        <w:pStyle w:val="ListBullet"/>
      </w:pPr>
      <w:r>
        <w:t>code_with_multiple_targets: 0</w:t>
      </w:r>
    </w:p>
    <w:p/>
    <w:p>
      <w:pPr>
        <w:pStyle w:val="Heading3"/>
      </w:pPr>
      <w:r>
        <w:t>Additional semantic issue (LOB naming consistency)</w:t>
      </w:r>
    </w:p>
    <w:p>
      <w:r>
        <w:t>From simple_checks/summary.txt:</w:t>
      </w:r>
    </w:p>
    <w:p>
      <w:pPr>
        <w:pStyle w:val="ListBullet"/>
      </w:pPr>
      <w:r>
        <w:t>Nome LOB -&gt; many LOB: 2 problematic names</w:t>
      </w:r>
    </w:p>
    <w:p>
      <w:r>
        <w:t>- BUILDING AUTOMATION</w:t>
      </w:r>
    </w:p>
    <w:p>
      <w:r>
        <w:t>- VIDEOSORVEGLIANZA</w:t>
      </w:r>
    </w:p>
    <w:p/>
    <w:p>
      <w:pPr>
        <w:pStyle w:val="Heading3"/>
      </w:pPr>
      <w:r>
        <w:t>Resolution strategy (DP-2)</w:t>
      </w:r>
    </w:p>
    <w:p>
      <w:pPr>
        <w:pStyle w:val="ListNumber"/>
      </w:pPr>
      <w:r>
        <w:t>Safe target relabeling using grouping_lob_autofix_safe.csv</w:t>
      </w:r>
    </w:p>
    <w:p>
      <w:r>
        <w:t>- Raw rows relabeled: 54 (fix_by_name_prefix2)</w:t>
      </w:r>
    </w:p>
    <w:p>
      <w:r>
        <w:t>- Relabeled rows retained in final cleaned set: 49</w:t>
      </w:r>
    </w:p>
    <w:p/>
    <w:p>
      <w:pPr>
        <w:pStyle w:val="ListNumber"/>
      </w:pPr>
      <w:r>
        <w:t>Stage A pre-pruning (source-driven)</w:t>
      </w:r>
    </w:p>
    <w:p>
      <w:r>
        <w:t>- Source LOB excludes (78*, 01003, 01009, 01015, 01011): 1,161</w:t>
      </w:r>
    </w:p>
    <w:p>
      <w:r>
        <w:t>- Service rows marked as Inventario: 222</w:t>
      </w:r>
    </w:p>
    <w:p>
      <w:r>
        <w:t>- LOB not in LOB catalog: 0</w:t>
      </w:r>
    </w:p>
    <w:p>
      <w:r>
        <w:t>- Union pre-pruned: 1,383</w:t>
      </w:r>
    </w:p>
    <w:p/>
    <w:p>
      <w:pPr>
        <w:pStyle w:val="ListNumber"/>
      </w:pPr>
      <w:r>
        <w:t>Stage B pruning (quality/label integrity)</w:t>
      </w:r>
    </w:p>
    <w:p>
      <w:r>
        <w:t>- Assistenza pruned: 11</w:t>
      </w:r>
    </w:p>
    <w:p>
      <w:r>
        <w:t>- Non usare patterns pruned: 31</w:t>
      </w:r>
    </w:p>
    <w:p>
      <w:r>
        <w:t>- Blank description pruned: 62</w:t>
      </w:r>
    </w:p>
    <w:p>
      <w:r>
        <w:t>- Description-to-multi-target conflict rows pruned: 701</w:t>
      </w:r>
    </w:p>
    <w:p>
      <w:r>
        <w:t>- Union pruned (Stage B): 773</w:t>
      </w:r>
    </w:p>
    <w:p/>
    <w:p>
      <w:pPr>
        <w:pStyle w:val="ListNumber"/>
      </w:pPr>
      <w:r>
        <w:t>Duplicates after pruning</w:t>
      </w:r>
    </w:p>
    <w:p>
      <w:r>
        <w:t>- Removed: 0 (none found)</w:t>
      </w:r>
    </w:p>
    <w:p/>
    <w:p>
      <w:pPr>
        <w:pStyle w:val="Heading2"/>
      </w:pPr>
      <w:r>
        <w:t>4) Associative Rules from Description Word Matrices</w:t>
      </w:r>
    </w:p>
    <w:p/>
    <w:p>
      <w:r>
        <w:t>Association matrices were built as normalized conditional distributions P(class | token).</w:t>
      </w:r>
    </w:p>
    <w:p/>
    <w:p>
      <w:pPr>
        <w:pStyle w:val="Heading3"/>
      </w:pPr>
      <w:r>
        <w:t>Token -&gt; Vendor (dp3_token_brand_matrix_norm.csv)</w:t>
      </w:r>
    </w:p>
    <w:p>
      <w:r>
        <w:t>High-confidence examples:</w:t>
      </w:r>
    </w:p>
    <w:p>
      <w:pPr>
        <w:pStyle w:val="ListBullet"/>
      </w:pPr>
      <w:r>
        <w:t>catalyst -&gt; cisco (0.996)</w:t>
      </w:r>
    </w:p>
    <w:p>
      <w:pPr>
        <w:pStyle w:val="ListBullet"/>
      </w:pPr>
      <w:r>
        <w:t>cisco -&gt; cisco (0.983)</w:t>
      </w:r>
    </w:p>
    <w:p>
      <w:pPr>
        <w:pStyle w:val="ListBullet"/>
      </w:pPr>
      <w:r>
        <w:t>hpe -&gt; hpe (0.965)</w:t>
      </w:r>
    </w:p>
    <w:p>
      <w:pPr>
        <w:pStyle w:val="ListBullet"/>
      </w:pPr>
      <w:r>
        <w:t>normal -&gt; trend_micro (0.928)</w:t>
      </w:r>
    </w:p>
    <w:p>
      <w:pPr>
        <w:pStyle w:val="ListBullet"/>
      </w:pPr>
      <w:r>
        <w:t>utp -&gt; fortinet (0.906)</w:t>
      </w:r>
    </w:p>
    <w:p/>
    <w:p>
      <w:pPr>
        <w:pStyle w:val="Heading3"/>
      </w:pPr>
      <w:r>
        <w:t>Token -&gt; Product Family (dp3_token_family_matrix_norm.csv)</w:t>
      </w:r>
    </w:p>
    <w:p>
      <w:r>
        <w:t>High-confidence examples:</w:t>
      </w:r>
    </w:p>
    <w:p>
      <w:pPr>
        <w:pStyle w:val="ListBullet"/>
      </w:pPr>
      <w:r>
        <w:t>subscription -&gt; subscription (0.950)</w:t>
      </w:r>
    </w:p>
    <w:p>
      <w:pPr>
        <w:pStyle w:val="ListBullet"/>
      </w:pPr>
      <w:r>
        <w:t>poe -&gt; hardware (0.925)</w:t>
      </w:r>
    </w:p>
    <w:p>
      <w:pPr>
        <w:pStyle w:val="ListBullet"/>
      </w:pPr>
      <w:r>
        <w:t>cable -&gt; hardware (0.867)</w:t>
      </w:r>
    </w:p>
    <w:p>
      <w:pPr>
        <w:pStyle w:val="ListBullet"/>
      </w:pPr>
      <w:r>
        <w:t>normal -&gt; license_term (0.856)</w:t>
      </w:r>
    </w:p>
    <w:p/>
    <w:p>
      <w:r>
        <w:t>These matrices are directly usable as interpretable rule candidates and confidence features in hybrid auto/manual routing.</w:t>
      </w:r>
    </w:p>
    <w:p/>
    <w:p>
      <w:pPr>
        <w:pStyle w:val="Heading2"/>
      </w:pPr>
      <w:r>
        <w:t>5) Final Analysis and Data Preparation Results</w:t>
      </w:r>
    </w:p>
    <w:p/>
    <w:p>
      <w:pPr>
        <w:pStyle w:val="Heading3"/>
      </w:pPr>
      <w:r>
        <w:t>Pipeline outcome</w:t>
      </w:r>
    </w:p>
    <w:p>
      <w:pPr>
        <w:pStyle w:val="ListBullet"/>
      </w:pPr>
      <w:r>
        <w:t>Raw rows: 22,655</w:t>
      </w:r>
    </w:p>
    <w:p>
      <w:pPr>
        <w:pStyle w:val="ListBullet"/>
      </w:pPr>
      <w:r>
        <w:t>Final cleaned/model-ready rows: 20,499</w:t>
      </w:r>
    </w:p>
    <w:p>
      <w:pPr>
        <w:pStyle w:val="ListBullet"/>
      </w:pPr>
      <w:r>
        <w:t>Net reduction: 2,156 rows (9.52%)</w:t>
      </w:r>
    </w:p>
    <w:p/>
    <w:p>
      <w:pPr>
        <w:pStyle w:val="ListBullet"/>
      </w:pPr>
      <w:r>
        <w:t>rag_input_dataset.csv: 20,499 rows, 14 columns</w:t>
      </w:r>
    </w:p>
    <w:p>
      <w:pPr>
        <w:pStyle w:val="ListBullet"/>
      </w:pPr>
      <w:r>
        <w:t>rag_input_dataset_new.csv: 20,499 rows, 14 columns</w:t>
      </w:r>
    </w:p>
    <w:p/>
    <w:p>
      <w:pPr>
        <w:pStyle w:val="Heading3"/>
      </w:pPr>
      <w:r>
        <w:t>Evidence from EDA graph</w:t>
      </w:r>
    </w:p>
    <w:p>
      <w:r>
        <w:t>The row flow is confirmed by the stage progression chart generated from dp6_stage_progression.csv: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6746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p6_stage_progres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DP-6 Stage Progression</w:t>
      </w:r>
    </w:p>
    <w:p/>
    <w:p>
      <w:pPr>
        <w:pStyle w:val="Heading3"/>
      </w:pPr>
      <w:r>
        <w:t>Quantitative modeling readiness gains</w:t>
      </w:r>
    </w:p>
    <w:p>
      <w:r>
        <w:t>From dp5_uplift_summary.csv and dp5_uplift_delta.csv:</w:t>
      </w:r>
    </w:p>
    <w:p>
      <w:pPr>
        <w:pStyle w:val="ListBullet"/>
      </w:pPr>
      <w:r>
        <w:t>Accuracy: 0.1548 -&gt; 0.2571 (+0.1024)</w:t>
      </w:r>
    </w:p>
    <w:p>
      <w:pPr>
        <w:pStyle w:val="ListBullet"/>
      </w:pPr>
      <w:r>
        <w:t>Weighted F1: 0.1739 -&gt; 0.3014 (+0.1275)</w:t>
      </w:r>
    </w:p>
    <w:p>
      <w:pPr>
        <w:pStyle w:val="ListBullet"/>
      </w:pPr>
      <w:r>
        <w:t>Macro F1: 0.1118 -&gt; 0.2109 (+0.0991)</w:t>
      </w:r>
    </w:p>
    <w:p/>
    <w:p>
      <w:r>
        <w:t>From dp5_pca_summary.csv:</w:t>
      </w:r>
    </w:p>
    <w:p>
      <w:pPr>
        <w:pStyle w:val="ListBullet"/>
      </w:pPr>
      <w:r>
        <w:t>Cumulative explained variance:</w:t>
      </w:r>
    </w:p>
    <w:p>
      <w:r>
        <w:t>- 1 component: 43.48%</w:t>
      </w:r>
    </w:p>
    <w:p>
      <w:r>
        <w:t>- 2 components: 78.28%</w:t>
      </w:r>
    </w:p>
    <w:p>
      <w:r>
        <w:t>- 3 components: 98.52%</w:t>
      </w:r>
    </w:p>
    <w:p/>
    <w:p>
      <w:pPr>
        <w:pStyle w:val="Heading2"/>
      </w:pPr>
      <w:r>
        <w:t>Conclusion</w:t>
      </w:r>
    </w:p>
    <w:p>
      <w:r>
        <w:t>The preparation pipeline removed label noise and ambiguous records, corrected safe LOB inconsistencies, and converted description/code patterns into interpretable signals. The resulting 20,499-row dataset is cleaner, traceable by rule, and measurably stronger for downstream classification and retrieval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