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FF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A90D9" w:sz="0" w:space="0"/>
              <w:left w:val="single" w:color="4A90D9" w:sz="0" w:space="0"/>
              <w:bottom w:val="single" w:color="4A90D9" w:sz="0" w:space="0"/>
              <w:right w:val="single" w:color="4A90D9" w:sz="0" w:space="0"/>
            </w:tcBorders>
            <w:shd w:val="clear" w:color="auto" w:fill="EAF3FC"/>
            <w:tcMar>
              <w:top w:w="200" w:type="dxa"/>
              <w:left w:w="240" w:type="dxa"/>
              <w:bottom w:w="200" w:type="dxa"/>
              <w:right w:w="240" w:type="dxa"/>
            </w:tcMar>
          </w:tcPr>
          <w:p w14:paraId="1E4FBAB7">
            <w:pPr>
              <w:spacing w:after="80"/>
              <w:jc w:val="center"/>
            </w:pPr>
            <w:r>
              <w:rPr>
                <w:rFonts w:ascii="Arial" w:hAnsi="Arial" w:eastAsia="Arial" w:cs="Arial"/>
                <w:b/>
                <w:bCs/>
                <w:color w:val="4A90D9"/>
                <w:sz w:val="40"/>
                <w:szCs w:val="40"/>
              </w:rPr>
              <w:t>BRIGHTPATH ACADEMY</w:t>
            </w:r>
          </w:p>
          <w:p w14:paraId="6628F93D">
            <w:pPr>
              <w:spacing w:after="80"/>
              <w:jc w:val="center"/>
            </w:pPr>
            <w:r>
              <w:rPr>
                <w:rFonts w:ascii="Arial" w:hAnsi="Arial" w:eastAsia="Arial" w:cs="Arial"/>
                <w:b/>
                <w:bCs/>
                <w:color w:val="1A1A2E"/>
                <w:sz w:val="32"/>
                <w:szCs w:val="32"/>
              </w:rPr>
              <w:t>Course Catalogue</w:t>
            </w:r>
          </w:p>
          <w:p w14:paraId="0586A973">
            <w:pPr>
              <w:spacing w:after="80"/>
              <w:jc w:val="center"/>
            </w:pPr>
            <w:r>
              <w:rPr>
                <w:rFonts w:ascii="Arial" w:hAnsi="Arial" w:eastAsia="Arial" w:cs="Arial"/>
                <w:color w:val="555555"/>
                <w:sz w:val="22"/>
                <w:szCs w:val="22"/>
              </w:rPr>
              <w:t>2026 Academic Year  |  All Programmes &amp; Descriptions</w:t>
            </w:r>
          </w:p>
          <w:p w14:paraId="4F1A3687">
            <w:pPr>
              <w:spacing w:after="80"/>
              <w:jc w:val="center"/>
            </w:pPr>
            <w:r>
              <w:rPr>
                <w:rFonts w:ascii="Arial" w:hAnsi="Arial" w:eastAsia="Arial" w:cs="Arial"/>
                <w:i/>
                <w:iCs/>
                <w:color w:val="888888"/>
                <w:sz w:val="18"/>
                <w:szCs w:val="18"/>
              </w:rPr>
              <w:t>Updated: March 2026  |  Version 4.1</w:t>
            </w:r>
          </w:p>
        </w:tc>
      </w:tr>
    </w:tbl>
    <w:p w14:paraId="508FB7C4">
      <w:pPr>
        <w:spacing w:after="200"/>
      </w:pPr>
    </w:p>
    <w:p w14:paraId="6BCE576A">
      <w:pPr>
        <w:spacing w:after="160"/>
      </w:pPr>
      <w:r>
        <w:rPr>
          <w:rFonts w:ascii="Arial" w:hAnsi="Arial" w:eastAsia="Arial" w:cs="Arial"/>
          <w:color w:val="444444"/>
          <w:sz w:val="22"/>
          <w:szCs w:val="22"/>
        </w:rPr>
        <w:t xml:space="preserve">BrightPath Academy offers over 40 programmes across five learning tracks: Technology &amp; Data, Business &amp; Management, Creative Industries, Personal Development, and Professional Certifications. This catalogue lists all currently available programmes. Prices are in </w:t>
      </w:r>
      <w:r>
        <w:rPr>
          <w:rFonts w:cs="Arial"/>
          <w:color w:val="444444"/>
          <w:sz w:val="22"/>
          <w:szCs w:val="22"/>
          <w:lang w:val="en-GB"/>
        </w:rPr>
        <w:t>NGN</w:t>
      </w:r>
      <w:r>
        <w:rPr>
          <w:rFonts w:ascii="Arial" w:hAnsi="Arial" w:eastAsia="Arial" w:cs="Arial"/>
          <w:color w:val="444444"/>
          <w:sz w:val="22"/>
          <w:szCs w:val="22"/>
        </w:rPr>
        <w:t>. All courses are available to global learners unless otherwise specified.</w:t>
      </w:r>
    </w:p>
    <w:p w14:paraId="6B8A5B4D">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E14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20" w:type="dxa"/>
              <w:bottom w:w="80" w:type="dxa"/>
              <w:right w:w="120" w:type="dxa"/>
            </w:tcMar>
          </w:tcPr>
          <w:p w14:paraId="230035B9">
            <w:pPr>
              <w:jc w:val="center"/>
            </w:pPr>
            <w:r>
              <w:rPr>
                <w:rFonts w:ascii="Arial" w:hAnsi="Arial" w:eastAsia="Arial" w:cs="Arial"/>
                <w:b/>
                <w:bCs/>
                <w:sz w:val="18"/>
                <w:szCs w:val="18"/>
              </w:rPr>
              <w:t>BG — Beginner</w:t>
            </w:r>
          </w:p>
        </w:tc>
        <w:tc>
          <w:tcPr>
            <w:tcW w:w="2340" w:type="dxa"/>
            <w:tcBorders>
              <w:top w:val="single" w:color="CCCCCC" w:sz="0" w:space="0"/>
              <w:left w:val="single" w:color="CCCCCC" w:sz="0" w:space="0"/>
              <w:bottom w:val="single" w:color="CCCCCC" w:sz="0" w:space="0"/>
              <w:right w:val="single" w:color="CCCCCC" w:sz="0" w:space="0"/>
            </w:tcBorders>
            <w:shd w:val="clear" w:color="auto" w:fill="D0E8F8"/>
            <w:tcMar>
              <w:top w:w="80" w:type="dxa"/>
              <w:left w:w="120" w:type="dxa"/>
              <w:bottom w:w="80" w:type="dxa"/>
              <w:right w:w="120" w:type="dxa"/>
            </w:tcMar>
          </w:tcPr>
          <w:p w14:paraId="3EB5E84A">
            <w:pPr>
              <w:jc w:val="center"/>
            </w:pPr>
            <w:r>
              <w:rPr>
                <w:rFonts w:ascii="Arial" w:hAnsi="Arial" w:eastAsia="Arial" w:cs="Arial"/>
                <w:b/>
                <w:bCs/>
                <w:sz w:val="18"/>
                <w:szCs w:val="18"/>
              </w:rPr>
              <w:t>IN — Intermediate</w:t>
            </w:r>
          </w:p>
        </w:tc>
        <w:tc>
          <w:tcPr>
            <w:tcW w:w="2340" w:type="dxa"/>
            <w:tcBorders>
              <w:top w:val="single" w:color="CCCCCC" w:sz="0" w:space="0"/>
              <w:left w:val="single" w:color="CCCCCC" w:sz="0" w:space="0"/>
              <w:bottom w:val="single" w:color="CCCCCC" w:sz="0" w:space="0"/>
              <w:right w:val="single" w:color="CCCCCC" w:sz="0" w:space="0"/>
            </w:tcBorders>
            <w:shd w:val="clear" w:color="auto" w:fill="D8F0E8"/>
            <w:tcMar>
              <w:top w:w="80" w:type="dxa"/>
              <w:left w:w="120" w:type="dxa"/>
              <w:bottom w:w="80" w:type="dxa"/>
              <w:right w:w="120" w:type="dxa"/>
            </w:tcMar>
          </w:tcPr>
          <w:p w14:paraId="37E4C371">
            <w:pPr>
              <w:jc w:val="center"/>
            </w:pPr>
            <w:r>
              <w:rPr>
                <w:rFonts w:ascii="Arial" w:hAnsi="Arial" w:eastAsia="Arial" w:cs="Arial"/>
                <w:b/>
                <w:bCs/>
                <w:sz w:val="18"/>
                <w:szCs w:val="18"/>
              </w:rPr>
              <w:t>AD — Advanced</w:t>
            </w:r>
          </w:p>
        </w:tc>
        <w:tc>
          <w:tcPr>
            <w:tcW w:w="2340" w:type="dxa"/>
            <w:tcBorders>
              <w:top w:val="single" w:color="CCCCCC" w:sz="0" w:space="0"/>
              <w:left w:val="single" w:color="CCCCCC" w:sz="0" w:space="0"/>
              <w:bottom w:val="single" w:color="CCCCCC" w:sz="0" w:space="0"/>
              <w:right w:val="single" w:color="CCCCCC" w:sz="0" w:space="0"/>
            </w:tcBorders>
            <w:shd w:val="clear" w:color="auto" w:fill="FFF0D0"/>
            <w:tcMar>
              <w:top w:w="80" w:type="dxa"/>
              <w:left w:w="120" w:type="dxa"/>
              <w:bottom w:w="80" w:type="dxa"/>
              <w:right w:w="120" w:type="dxa"/>
            </w:tcMar>
          </w:tcPr>
          <w:p w14:paraId="54FABC38">
            <w:pPr>
              <w:jc w:val="center"/>
            </w:pPr>
            <w:r>
              <w:rPr>
                <w:rFonts w:ascii="Arial" w:hAnsi="Arial" w:eastAsia="Arial" w:cs="Arial"/>
                <w:b/>
                <w:bCs/>
                <w:sz w:val="18"/>
                <w:szCs w:val="18"/>
              </w:rPr>
              <w:t>BO — Bootcamp</w:t>
            </w:r>
          </w:p>
        </w:tc>
      </w:tr>
    </w:tbl>
    <w:p w14:paraId="6E9BCCB1">
      <w:pPr>
        <w:spacing w:after="300"/>
      </w:pPr>
    </w:p>
    <w:p w14:paraId="6583A5C4">
      <w:pPr>
        <w:pStyle w:val="2"/>
        <w:spacing w:before="300" w:after="160"/>
      </w:pPr>
      <w:r>
        <w:rPr>
          <w:rFonts w:ascii="Arial" w:hAnsi="Arial" w:eastAsia="Arial" w:cs="Arial"/>
          <w:b/>
          <w:bCs/>
          <w:color w:val="4A90D9"/>
          <w:sz w:val="36"/>
          <w:szCs w:val="36"/>
        </w:rPr>
        <w:t>Track 1: Technology &amp; Data</w:t>
      </w:r>
    </w:p>
    <w:p w14:paraId="5FA6C626">
      <w:pPr>
        <w:pBdr>
          <w:bottom w:val="single" w:color="4A90D9" w:sz="8"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E8A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59BAC09E">
            <w:r>
              <w:rPr>
                <w:rFonts w:ascii="Arial" w:hAnsi="Arial" w:eastAsia="Arial" w:cs="Arial"/>
                <w:b/>
                <w:bCs/>
                <w:color w:val="FFFFFF"/>
                <w:sz w:val="26"/>
                <w:szCs w:val="26"/>
              </w:rPr>
              <w:t>Introduction to Web Development</w:t>
            </w:r>
            <w:r>
              <w:rPr>
                <w:rFonts w:ascii="Arial" w:hAnsi="Arial" w:eastAsia="Arial" w:cs="Arial"/>
                <w:color w:val="CCE4FF"/>
                <w:sz w:val="20"/>
                <w:szCs w:val="20"/>
              </w:rPr>
              <w:t xml:space="preserve">  |  BP-WD-101 | BG</w:t>
            </w:r>
          </w:p>
        </w:tc>
      </w:tr>
      <w:tr w14:paraId="06A3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6BAE3F5">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FFC88EE">
            <w:r>
              <w:rPr>
                <w:rFonts w:ascii="Arial" w:hAnsi="Arial" w:eastAsia="Arial" w:cs="Arial"/>
                <w:sz w:val="20"/>
                <w:szCs w:val="20"/>
              </w:rPr>
              <w:t>Beginner — No experience required</w:t>
            </w:r>
          </w:p>
        </w:tc>
      </w:tr>
      <w:tr w14:paraId="3FFA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0FD3AA5A">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9142D9D">
            <w:r>
              <w:rPr>
                <w:rFonts w:ascii="Arial" w:hAnsi="Arial" w:eastAsia="Arial" w:cs="Arial"/>
                <w:sz w:val="20"/>
                <w:szCs w:val="20"/>
              </w:rPr>
              <w:t>8 weeks (Self-paced)</w:t>
            </w:r>
          </w:p>
        </w:tc>
      </w:tr>
      <w:tr w14:paraId="0822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0A18BF1E">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5C99BF1">
            <w:r>
              <w:rPr>
                <w:rFonts w:hint="default" w:cs="Arial"/>
                <w:sz w:val="20"/>
                <w:szCs w:val="20"/>
                <w:lang w:val="en-GB"/>
              </w:rPr>
              <w:t>N</w:t>
            </w:r>
            <w:r>
              <w:rPr>
                <w:rFonts w:ascii="Arial" w:hAnsi="Arial" w:eastAsia="Arial" w:cs="Arial"/>
                <w:sz w:val="20"/>
                <w:szCs w:val="20"/>
              </w:rPr>
              <w:t xml:space="preserve">149 </w:t>
            </w:r>
            <w:r>
              <w:rPr>
                <w:rFonts w:hint="default" w:cs="Arial"/>
                <w:sz w:val="20"/>
                <w:szCs w:val="20"/>
                <w:lang w:val="en-GB"/>
              </w:rPr>
              <w:t>NGN</w:t>
            </w:r>
            <w:r>
              <w:rPr>
                <w:rFonts w:ascii="Arial" w:hAnsi="Arial" w:eastAsia="Arial" w:cs="Arial"/>
                <w:sz w:val="20"/>
                <w:szCs w:val="20"/>
              </w:rPr>
              <w:t xml:space="preserve">  |  3-instalment plan not available</w:t>
            </w:r>
          </w:p>
        </w:tc>
      </w:tr>
      <w:tr w14:paraId="59B4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4DF00EFC">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C57A346">
            <w:r>
              <w:rPr>
                <w:rFonts w:ascii="Arial" w:hAnsi="Arial" w:eastAsia="Arial" w:cs="Arial"/>
                <w:sz w:val="20"/>
                <w:szCs w:val="20"/>
              </w:rPr>
              <w:t>100% Online, Self-Paced</w:t>
            </w:r>
          </w:p>
        </w:tc>
      </w:tr>
      <w:tr w14:paraId="5F15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5D8624CD">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54287C0">
            <w:r>
              <w:rPr>
                <w:rFonts w:ascii="Arial" w:hAnsi="Arial" w:eastAsia="Arial" w:cs="Arial"/>
                <w:sz w:val="20"/>
                <w:szCs w:val="20"/>
              </w:rPr>
              <w:t>None</w:t>
            </w:r>
          </w:p>
        </w:tc>
      </w:tr>
      <w:tr w14:paraId="3578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3B34CE96">
            <w:pPr>
              <w:spacing w:after="60"/>
            </w:pPr>
            <w:r>
              <w:rPr>
                <w:rFonts w:ascii="Arial" w:hAnsi="Arial" w:eastAsia="Arial" w:cs="Arial"/>
                <w:b/>
                <w:bCs/>
                <w:color w:val="4A90D9"/>
                <w:sz w:val="22"/>
                <w:szCs w:val="22"/>
              </w:rPr>
              <w:t>Overview</w:t>
            </w:r>
          </w:p>
          <w:p w14:paraId="1F56517D">
            <w:pPr>
              <w:spacing w:after="120"/>
            </w:pPr>
            <w:r>
              <w:rPr>
                <w:rFonts w:ascii="Arial" w:hAnsi="Arial" w:eastAsia="Arial" w:cs="Arial"/>
                <w:sz w:val="20"/>
                <w:szCs w:val="20"/>
              </w:rPr>
              <w:t>This course introduces learners to the foundations of modern web development. You will learn how the web works, how to structure content with HTML, style it with CSS, and add interactivity with JavaScript. By the end, you will have built three personal projects suitable for a portfolio, including a responsive portfolio website and a JavaScript to-do app.</w:t>
            </w:r>
          </w:p>
          <w:p w14:paraId="1B916065">
            <w:pPr>
              <w:spacing w:after="60"/>
            </w:pPr>
            <w:r>
              <w:rPr>
                <w:rFonts w:ascii="Arial" w:hAnsi="Arial" w:eastAsia="Arial" w:cs="Arial"/>
                <w:b/>
                <w:bCs/>
                <w:color w:val="4A90D9"/>
                <w:sz w:val="22"/>
                <w:szCs w:val="22"/>
              </w:rPr>
              <w:t>Learning Outcomes</w:t>
            </w:r>
          </w:p>
          <w:p w14:paraId="57CA091E">
            <w:pPr>
              <w:pStyle w:val="16"/>
              <w:numPr>
                <w:ilvl w:val="0"/>
                <w:numId w:val="1"/>
              </w:numPr>
              <w:spacing w:after="60"/>
            </w:pPr>
            <w:r>
              <w:rPr>
                <w:rFonts w:ascii="Arial" w:hAnsi="Arial" w:eastAsia="Arial" w:cs="Arial"/>
                <w:sz w:val="20"/>
                <w:szCs w:val="20"/>
              </w:rPr>
              <w:t>Write clean, semantic HTML5 and CSS3</w:t>
            </w:r>
          </w:p>
          <w:p w14:paraId="44DD3D7A">
            <w:pPr>
              <w:pStyle w:val="16"/>
              <w:numPr>
                <w:ilvl w:val="0"/>
                <w:numId w:val="1"/>
              </w:numPr>
              <w:spacing w:after="60"/>
            </w:pPr>
            <w:r>
              <w:rPr>
                <w:rFonts w:ascii="Arial" w:hAnsi="Arial" w:eastAsia="Arial" w:cs="Arial"/>
                <w:sz w:val="20"/>
                <w:szCs w:val="20"/>
              </w:rPr>
              <w:t>Build responsive layouts using Flexbox and CSS Grid</w:t>
            </w:r>
          </w:p>
          <w:p w14:paraId="48AC6633">
            <w:pPr>
              <w:pStyle w:val="16"/>
              <w:numPr>
                <w:ilvl w:val="0"/>
                <w:numId w:val="1"/>
              </w:numPr>
              <w:spacing w:after="60"/>
            </w:pPr>
            <w:r>
              <w:rPr>
                <w:rFonts w:ascii="Arial" w:hAnsi="Arial" w:eastAsia="Arial" w:cs="Arial"/>
                <w:sz w:val="20"/>
                <w:szCs w:val="20"/>
              </w:rPr>
              <w:t>Add interactivity with vanilla JavaScript (DOM, events, fetch)</w:t>
            </w:r>
          </w:p>
          <w:p w14:paraId="67602000">
            <w:pPr>
              <w:pStyle w:val="16"/>
              <w:numPr>
                <w:ilvl w:val="0"/>
                <w:numId w:val="1"/>
              </w:numPr>
              <w:spacing w:after="60"/>
            </w:pPr>
            <w:r>
              <w:rPr>
                <w:rFonts w:ascii="Arial" w:hAnsi="Arial" w:eastAsia="Arial" w:cs="Arial"/>
                <w:sz w:val="20"/>
                <w:szCs w:val="20"/>
              </w:rPr>
              <w:t>Deploy static websites using GitHub Pages or Netlify</w:t>
            </w:r>
          </w:p>
          <w:p w14:paraId="43D4B9F6">
            <w:pPr>
              <w:pStyle w:val="16"/>
              <w:numPr>
                <w:ilvl w:val="0"/>
                <w:numId w:val="1"/>
              </w:numPr>
              <w:spacing w:after="60"/>
            </w:pPr>
            <w:r>
              <w:rPr>
                <w:rFonts w:ascii="Arial" w:hAnsi="Arial" w:eastAsia="Arial" w:cs="Arial"/>
                <w:sz w:val="20"/>
                <w:szCs w:val="20"/>
              </w:rPr>
              <w:t>Understand how HTTP, DNS, and browsers work</w:t>
            </w:r>
          </w:p>
        </w:tc>
      </w:tr>
    </w:tbl>
    <w:p w14:paraId="072E4379">
      <w:pPr>
        <w:spacing w:after="3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520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33093B52">
            <w:r>
              <w:rPr>
                <w:rFonts w:ascii="Arial" w:hAnsi="Arial" w:eastAsia="Arial" w:cs="Arial"/>
                <w:b/>
                <w:bCs/>
                <w:color w:val="FFFFFF"/>
                <w:sz w:val="26"/>
                <w:szCs w:val="26"/>
              </w:rPr>
              <w:t>Full-Stack Web Development Bootcamp</w:t>
            </w:r>
            <w:r>
              <w:rPr>
                <w:rFonts w:ascii="Arial" w:hAnsi="Arial" w:eastAsia="Arial" w:cs="Arial"/>
                <w:color w:val="CCE4FF"/>
                <w:sz w:val="20"/>
                <w:szCs w:val="20"/>
              </w:rPr>
              <w:t xml:space="preserve">  |  BP-FS-301 | BO</w:t>
            </w:r>
          </w:p>
        </w:tc>
      </w:tr>
      <w:tr w14:paraId="5337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8026F70">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AF696CA">
            <w:r>
              <w:rPr>
                <w:rFonts w:ascii="Arial" w:hAnsi="Arial" w:eastAsia="Arial" w:cs="Arial"/>
                <w:sz w:val="20"/>
                <w:szCs w:val="20"/>
              </w:rPr>
              <w:t>Intermediate — Completion of BP-WD-101 or equivalent</w:t>
            </w:r>
          </w:p>
        </w:tc>
      </w:tr>
      <w:tr w14:paraId="14E7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47181CE9">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40F1C5C">
            <w:r>
              <w:rPr>
                <w:rFonts w:ascii="Arial" w:hAnsi="Arial" w:eastAsia="Arial" w:cs="Arial"/>
                <w:sz w:val="20"/>
                <w:szCs w:val="20"/>
              </w:rPr>
              <w:t>16 weeks (Cohort-based, live sessions Wed &amp; Sat)</w:t>
            </w:r>
          </w:p>
        </w:tc>
      </w:tr>
      <w:tr w14:paraId="3965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61C77FF0">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A3C441B">
            <w:r>
              <w:rPr>
                <w:rFonts w:cs="Arial"/>
                <w:sz w:val="20"/>
                <w:szCs w:val="20"/>
                <w:lang w:val="en-GB"/>
              </w:rPr>
              <w:t>N</w:t>
            </w:r>
            <w:r>
              <w:rPr>
                <w:rFonts w:ascii="Arial" w:hAnsi="Arial" w:eastAsia="Arial" w:cs="Arial"/>
                <w:sz w:val="20"/>
                <w:szCs w:val="20"/>
              </w:rPr>
              <w:t xml:space="preserve">749 </w:t>
            </w:r>
            <w:r>
              <w:rPr>
                <w:rFonts w:cs="Arial"/>
                <w:sz w:val="20"/>
                <w:szCs w:val="20"/>
                <w:lang w:val="en-GB"/>
              </w:rPr>
              <w:t>NGN</w:t>
            </w:r>
            <w:r>
              <w:rPr>
                <w:rFonts w:ascii="Arial" w:hAnsi="Arial" w:eastAsia="Arial" w:cs="Arial"/>
                <w:sz w:val="20"/>
                <w:szCs w:val="20"/>
              </w:rPr>
              <w:t xml:space="preserve">  |  Split-Pay and 3-instalment available</w:t>
            </w:r>
          </w:p>
        </w:tc>
      </w:tr>
      <w:tr w14:paraId="5D30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69653B67">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EA7F313">
            <w:r>
              <w:rPr>
                <w:rFonts w:ascii="Arial" w:hAnsi="Arial" w:eastAsia="Arial" w:cs="Arial"/>
                <w:sz w:val="20"/>
                <w:szCs w:val="20"/>
              </w:rPr>
              <w:t>Online, Cohort-based with live instruction and group projects</w:t>
            </w:r>
          </w:p>
        </w:tc>
      </w:tr>
      <w:tr w14:paraId="6671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32D18503">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2228D60">
            <w:r>
              <w:rPr>
                <w:rFonts w:ascii="Arial" w:hAnsi="Arial" w:eastAsia="Arial" w:cs="Arial"/>
                <w:sz w:val="20"/>
                <w:szCs w:val="20"/>
              </w:rPr>
              <w:t>BP-WD-101 or demonstrated proficiency in HTML, CSS, and basic JavaScript</w:t>
            </w:r>
          </w:p>
        </w:tc>
      </w:tr>
      <w:tr w14:paraId="117E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321488DF">
            <w:pPr>
              <w:spacing w:after="60"/>
            </w:pPr>
            <w:r>
              <w:rPr>
                <w:rFonts w:ascii="Arial" w:hAnsi="Arial" w:eastAsia="Arial" w:cs="Arial"/>
                <w:b/>
                <w:bCs/>
                <w:color w:val="4A90D9"/>
                <w:sz w:val="22"/>
                <w:szCs w:val="22"/>
              </w:rPr>
              <w:t>Overview</w:t>
            </w:r>
          </w:p>
          <w:p w14:paraId="09DC52CE">
            <w:pPr>
              <w:spacing w:after="120"/>
            </w:pPr>
            <w:r>
              <w:rPr>
                <w:rFonts w:ascii="Arial" w:hAnsi="Arial" w:eastAsia="Arial" w:cs="Arial"/>
                <w:sz w:val="20"/>
                <w:szCs w:val="20"/>
              </w:rPr>
              <w:t>Our flagship bootcamp takes you from intermediate front-end skills to a full-stack developer capable of building and deploying production-ready web applications. You will work with React on the front end, Node.js and Express on the back end, and PostgreSQL for data storage. The programme culminates in a 4-week capstone project reviewed by industry mentors.</w:t>
            </w:r>
          </w:p>
          <w:p w14:paraId="3C8D76C7">
            <w:pPr>
              <w:spacing w:after="60"/>
            </w:pPr>
            <w:r>
              <w:rPr>
                <w:rFonts w:ascii="Arial" w:hAnsi="Arial" w:eastAsia="Arial" w:cs="Arial"/>
                <w:b/>
                <w:bCs/>
                <w:color w:val="4A90D9"/>
                <w:sz w:val="22"/>
                <w:szCs w:val="22"/>
              </w:rPr>
              <w:t>Learning Outcomes</w:t>
            </w:r>
          </w:p>
          <w:p w14:paraId="23DD5456">
            <w:pPr>
              <w:pStyle w:val="16"/>
              <w:numPr>
                <w:ilvl w:val="0"/>
                <w:numId w:val="1"/>
              </w:numPr>
              <w:spacing w:after="60"/>
            </w:pPr>
            <w:r>
              <w:rPr>
                <w:rFonts w:ascii="Arial" w:hAnsi="Arial" w:eastAsia="Arial" w:cs="Arial"/>
                <w:sz w:val="20"/>
                <w:szCs w:val="20"/>
              </w:rPr>
              <w:t>Build full-stack applications using the MERN/PERN stack</w:t>
            </w:r>
          </w:p>
          <w:p w14:paraId="16CEDAC9">
            <w:pPr>
              <w:pStyle w:val="16"/>
              <w:numPr>
                <w:ilvl w:val="0"/>
                <w:numId w:val="1"/>
              </w:numPr>
              <w:spacing w:after="60"/>
            </w:pPr>
            <w:r>
              <w:rPr>
                <w:rFonts w:ascii="Arial" w:hAnsi="Arial" w:eastAsia="Arial" w:cs="Arial"/>
                <w:sz w:val="20"/>
                <w:szCs w:val="20"/>
              </w:rPr>
              <w:t>Design and query relational databases with PostgreSQL</w:t>
            </w:r>
          </w:p>
          <w:p w14:paraId="7FA976F3">
            <w:pPr>
              <w:pStyle w:val="16"/>
              <w:numPr>
                <w:ilvl w:val="0"/>
                <w:numId w:val="1"/>
              </w:numPr>
              <w:spacing w:after="60"/>
            </w:pPr>
            <w:r>
              <w:rPr>
                <w:rFonts w:ascii="Arial" w:hAnsi="Arial" w:eastAsia="Arial" w:cs="Arial"/>
                <w:sz w:val="20"/>
                <w:szCs w:val="20"/>
              </w:rPr>
              <w:t>Implement authentication, authorisation, and REST API design</w:t>
            </w:r>
          </w:p>
          <w:p w14:paraId="5730874E">
            <w:pPr>
              <w:pStyle w:val="16"/>
              <w:numPr>
                <w:ilvl w:val="0"/>
                <w:numId w:val="1"/>
              </w:numPr>
              <w:spacing w:after="60"/>
            </w:pPr>
            <w:r>
              <w:rPr>
                <w:rFonts w:ascii="Arial" w:hAnsi="Arial" w:eastAsia="Arial" w:cs="Arial"/>
                <w:sz w:val="20"/>
                <w:szCs w:val="20"/>
              </w:rPr>
              <w:t>Use Git collaboratively in a team environment</w:t>
            </w:r>
          </w:p>
          <w:p w14:paraId="1FE6A6DC">
            <w:pPr>
              <w:pStyle w:val="16"/>
              <w:numPr>
                <w:ilvl w:val="0"/>
                <w:numId w:val="1"/>
              </w:numPr>
              <w:spacing w:after="60"/>
            </w:pPr>
            <w:r>
              <w:rPr>
                <w:rFonts w:ascii="Arial" w:hAnsi="Arial" w:eastAsia="Arial" w:cs="Arial"/>
                <w:sz w:val="20"/>
                <w:szCs w:val="20"/>
              </w:rPr>
              <w:t>Deploy applications to cloud platforms (Render, Railway, AWS EC2)</w:t>
            </w:r>
          </w:p>
          <w:p w14:paraId="5EBC4471">
            <w:pPr>
              <w:pStyle w:val="16"/>
              <w:numPr>
                <w:ilvl w:val="0"/>
                <w:numId w:val="1"/>
              </w:numPr>
              <w:spacing w:after="60"/>
            </w:pPr>
            <w:r>
              <w:rPr>
                <w:rFonts w:ascii="Arial" w:hAnsi="Arial" w:eastAsia="Arial" w:cs="Arial"/>
                <w:sz w:val="20"/>
                <w:szCs w:val="20"/>
              </w:rPr>
              <w:t>Develop a production-grade capstone project for your portfolio</w:t>
            </w:r>
          </w:p>
        </w:tc>
      </w:tr>
    </w:tbl>
    <w:p w14:paraId="59B1AE00">
      <w:pPr>
        <w:spacing w:after="3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3A4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7E5881F3">
            <w:r>
              <w:rPr>
                <w:rFonts w:ascii="Arial" w:hAnsi="Arial" w:eastAsia="Arial" w:cs="Arial"/>
                <w:b/>
                <w:bCs/>
                <w:color w:val="FFFFFF"/>
                <w:sz w:val="26"/>
                <w:szCs w:val="26"/>
              </w:rPr>
              <w:t>Data Analytics Fundamentals</w:t>
            </w:r>
            <w:r>
              <w:rPr>
                <w:rFonts w:ascii="Arial" w:hAnsi="Arial" w:eastAsia="Arial" w:cs="Arial"/>
                <w:color w:val="CCE4FF"/>
                <w:sz w:val="20"/>
                <w:szCs w:val="20"/>
              </w:rPr>
              <w:t xml:space="preserve">  |  BP-DA-201 | IN</w:t>
            </w:r>
          </w:p>
        </w:tc>
      </w:tr>
      <w:tr w14:paraId="4975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783BC158">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2DCD9CE">
            <w:r>
              <w:rPr>
                <w:rFonts w:ascii="Arial" w:hAnsi="Arial" w:eastAsia="Arial" w:cs="Arial"/>
                <w:sz w:val="20"/>
                <w:szCs w:val="20"/>
              </w:rPr>
              <w:t>Intermediate</w:t>
            </w:r>
          </w:p>
        </w:tc>
      </w:tr>
      <w:tr w14:paraId="5B81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79903464">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8C8377C">
            <w:r>
              <w:rPr>
                <w:rFonts w:ascii="Arial" w:hAnsi="Arial" w:eastAsia="Arial" w:cs="Arial"/>
                <w:sz w:val="20"/>
                <w:szCs w:val="20"/>
              </w:rPr>
              <w:t>10 weeks (Cohort-based)</w:t>
            </w:r>
          </w:p>
        </w:tc>
      </w:tr>
      <w:tr w14:paraId="33A3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A5897CB">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3CB38B0">
            <w:r>
              <w:rPr>
                <w:rFonts w:cs="Arial"/>
                <w:sz w:val="20"/>
                <w:szCs w:val="20"/>
                <w:lang w:val="en-GB"/>
              </w:rPr>
              <w:t>N</w:t>
            </w:r>
            <w:r>
              <w:rPr>
                <w:rFonts w:ascii="Arial" w:hAnsi="Arial" w:eastAsia="Arial" w:cs="Arial"/>
                <w:sz w:val="20"/>
                <w:szCs w:val="20"/>
              </w:rPr>
              <w:t xml:space="preserve">349 </w:t>
            </w:r>
            <w:r>
              <w:rPr>
                <w:rFonts w:cs="Arial"/>
                <w:sz w:val="20"/>
                <w:szCs w:val="20"/>
                <w:lang w:val="en-GB"/>
              </w:rPr>
              <w:t>NGN</w:t>
            </w:r>
            <w:r>
              <w:rPr>
                <w:rFonts w:ascii="Arial" w:hAnsi="Arial" w:eastAsia="Arial" w:cs="Arial"/>
                <w:sz w:val="20"/>
                <w:szCs w:val="20"/>
              </w:rPr>
              <w:t xml:space="preserve">  |  Split-Pay available</w:t>
            </w:r>
          </w:p>
        </w:tc>
      </w:tr>
      <w:tr w14:paraId="24EE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3EA91C88">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CF48329">
            <w:r>
              <w:rPr>
                <w:rFonts w:ascii="Arial" w:hAnsi="Arial" w:eastAsia="Arial" w:cs="Arial"/>
                <w:sz w:val="20"/>
                <w:szCs w:val="20"/>
              </w:rPr>
              <w:t>Online, Cohort-based with live instruction</w:t>
            </w:r>
          </w:p>
        </w:tc>
      </w:tr>
      <w:tr w14:paraId="6A11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4CC059BB">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1A06032">
            <w:r>
              <w:rPr>
                <w:rFonts w:ascii="Arial" w:hAnsi="Arial" w:eastAsia="Arial" w:cs="Arial"/>
                <w:sz w:val="20"/>
                <w:szCs w:val="20"/>
              </w:rPr>
              <w:t>Comfort with spreadsheets (Excel or Google Sheets); basic numeracy</w:t>
            </w:r>
          </w:p>
        </w:tc>
      </w:tr>
      <w:tr w14:paraId="2632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42515E57">
            <w:pPr>
              <w:spacing w:after="60"/>
            </w:pPr>
            <w:r>
              <w:rPr>
                <w:rFonts w:ascii="Arial" w:hAnsi="Arial" w:eastAsia="Arial" w:cs="Arial"/>
                <w:b/>
                <w:bCs/>
                <w:color w:val="4A90D9"/>
                <w:sz w:val="22"/>
                <w:szCs w:val="22"/>
              </w:rPr>
              <w:t>Overview</w:t>
            </w:r>
          </w:p>
          <w:p w14:paraId="2E01A190">
            <w:pPr>
              <w:spacing w:after="120"/>
            </w:pPr>
            <w:r>
              <w:rPr>
                <w:rFonts w:ascii="Arial" w:hAnsi="Arial" w:eastAsia="Arial" w:cs="Arial"/>
                <w:sz w:val="20"/>
                <w:szCs w:val="20"/>
              </w:rPr>
              <w:t>This programme equips learners with the practical skills to collect, clean, analyse, and visualise data for business decision-making. You will work with real-world datasets across multiple domains (e-commerce, healthcare, logistics) using Python, Pandas, and Power BI. The course is ideal for analysts, business professionals, and aspiring data scientists.</w:t>
            </w:r>
          </w:p>
          <w:p w14:paraId="4D87F016">
            <w:pPr>
              <w:spacing w:after="60"/>
            </w:pPr>
            <w:r>
              <w:rPr>
                <w:rFonts w:ascii="Arial" w:hAnsi="Arial" w:eastAsia="Arial" w:cs="Arial"/>
                <w:b/>
                <w:bCs/>
                <w:color w:val="4A90D9"/>
                <w:sz w:val="22"/>
                <w:szCs w:val="22"/>
              </w:rPr>
              <w:t>Learning Outcomes</w:t>
            </w:r>
          </w:p>
          <w:p w14:paraId="25ED5352">
            <w:pPr>
              <w:pStyle w:val="16"/>
              <w:numPr>
                <w:ilvl w:val="0"/>
                <w:numId w:val="1"/>
              </w:numPr>
              <w:spacing w:after="60"/>
            </w:pPr>
            <w:r>
              <w:rPr>
                <w:rFonts w:ascii="Arial" w:hAnsi="Arial" w:eastAsia="Arial" w:cs="Arial"/>
                <w:sz w:val="20"/>
                <w:szCs w:val="20"/>
              </w:rPr>
              <w:t>Write Python scripts to clean and transform datasets using Pandas</w:t>
            </w:r>
          </w:p>
          <w:p w14:paraId="3F09E04D">
            <w:pPr>
              <w:pStyle w:val="16"/>
              <w:numPr>
                <w:ilvl w:val="0"/>
                <w:numId w:val="1"/>
              </w:numPr>
              <w:spacing w:after="60"/>
            </w:pPr>
            <w:r>
              <w:rPr>
                <w:rFonts w:ascii="Arial" w:hAnsi="Arial" w:eastAsia="Arial" w:cs="Arial"/>
                <w:sz w:val="20"/>
                <w:szCs w:val="20"/>
              </w:rPr>
              <w:t>Perform exploratory data analysis (EDA) and statistical summaries</w:t>
            </w:r>
          </w:p>
          <w:p w14:paraId="7E6FA139">
            <w:pPr>
              <w:pStyle w:val="16"/>
              <w:numPr>
                <w:ilvl w:val="0"/>
                <w:numId w:val="1"/>
              </w:numPr>
              <w:spacing w:after="60"/>
            </w:pPr>
            <w:r>
              <w:rPr>
                <w:rFonts w:ascii="Arial" w:hAnsi="Arial" w:eastAsia="Arial" w:cs="Arial"/>
                <w:sz w:val="20"/>
                <w:szCs w:val="20"/>
              </w:rPr>
              <w:t>Build dashboards and reports in Power BI</w:t>
            </w:r>
          </w:p>
          <w:p w14:paraId="5C219C62">
            <w:pPr>
              <w:pStyle w:val="16"/>
              <w:numPr>
                <w:ilvl w:val="0"/>
                <w:numId w:val="1"/>
              </w:numPr>
              <w:spacing w:after="60"/>
            </w:pPr>
            <w:r>
              <w:rPr>
                <w:rFonts w:ascii="Arial" w:hAnsi="Arial" w:eastAsia="Arial" w:cs="Arial"/>
                <w:sz w:val="20"/>
                <w:szCs w:val="20"/>
              </w:rPr>
              <w:t>Apply data visualisation best practices with Matplotlib and Seaborn</w:t>
            </w:r>
          </w:p>
          <w:p w14:paraId="2007FF60">
            <w:pPr>
              <w:pStyle w:val="16"/>
              <w:numPr>
                <w:ilvl w:val="0"/>
                <w:numId w:val="1"/>
              </w:numPr>
              <w:spacing w:after="60"/>
            </w:pPr>
            <w:r>
              <w:rPr>
                <w:rFonts w:ascii="Arial" w:hAnsi="Arial" w:eastAsia="Arial" w:cs="Arial"/>
                <w:sz w:val="20"/>
                <w:szCs w:val="20"/>
              </w:rPr>
              <w:t>Communicate findings clearly in written and visual reports</w:t>
            </w:r>
          </w:p>
        </w:tc>
      </w:tr>
    </w:tbl>
    <w:p w14:paraId="493AD499">
      <w:pPr>
        <w:spacing w:after="3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022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549B32A3">
            <w:r>
              <w:rPr>
                <w:rFonts w:ascii="Arial" w:hAnsi="Arial" w:eastAsia="Arial" w:cs="Arial"/>
                <w:b/>
                <w:bCs/>
                <w:color w:val="FFFFFF"/>
                <w:sz w:val="26"/>
                <w:szCs w:val="26"/>
              </w:rPr>
              <w:t>Machine Learning Engineering</w:t>
            </w:r>
            <w:r>
              <w:rPr>
                <w:rFonts w:ascii="Arial" w:hAnsi="Arial" w:eastAsia="Arial" w:cs="Arial"/>
                <w:color w:val="CCE4FF"/>
                <w:sz w:val="20"/>
                <w:szCs w:val="20"/>
              </w:rPr>
              <w:t xml:space="preserve">  |  BP-ML-401 | AD</w:t>
            </w:r>
          </w:p>
        </w:tc>
      </w:tr>
      <w:tr w14:paraId="1101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2A49A60C">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5D39399">
            <w:r>
              <w:rPr>
                <w:rFonts w:ascii="Arial" w:hAnsi="Arial" w:eastAsia="Arial" w:cs="Arial"/>
                <w:sz w:val="20"/>
                <w:szCs w:val="20"/>
              </w:rPr>
              <w:t>Advanced</w:t>
            </w:r>
          </w:p>
        </w:tc>
      </w:tr>
      <w:tr w14:paraId="4942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5E425FD2">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78DD16D">
            <w:r>
              <w:rPr>
                <w:rFonts w:ascii="Arial" w:hAnsi="Arial" w:eastAsia="Arial" w:cs="Arial"/>
                <w:sz w:val="20"/>
                <w:szCs w:val="20"/>
              </w:rPr>
              <w:t>14 weeks (Cohort-based)</w:t>
            </w:r>
          </w:p>
        </w:tc>
      </w:tr>
      <w:tr w14:paraId="0BDF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9E550F1">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8FDA646">
            <w:r>
              <w:rPr>
                <w:rFonts w:cs="Arial"/>
                <w:sz w:val="20"/>
                <w:szCs w:val="20"/>
                <w:lang w:val="en-GB"/>
              </w:rPr>
              <w:t>N</w:t>
            </w:r>
            <w:r>
              <w:rPr>
                <w:rFonts w:ascii="Arial" w:hAnsi="Arial" w:eastAsia="Arial" w:cs="Arial"/>
                <w:sz w:val="20"/>
                <w:szCs w:val="20"/>
              </w:rPr>
              <w:t xml:space="preserve">899 </w:t>
            </w:r>
            <w:r>
              <w:rPr>
                <w:rFonts w:cs="Arial"/>
                <w:sz w:val="20"/>
                <w:szCs w:val="20"/>
                <w:lang w:val="en-GB"/>
              </w:rPr>
              <w:t>NGN</w:t>
            </w:r>
            <w:r>
              <w:rPr>
                <w:rFonts w:ascii="Arial" w:hAnsi="Arial" w:eastAsia="Arial" w:cs="Arial"/>
                <w:sz w:val="20"/>
                <w:szCs w:val="20"/>
              </w:rPr>
              <w:t xml:space="preserve">  |  3-instalment available</w:t>
            </w:r>
          </w:p>
        </w:tc>
      </w:tr>
      <w:tr w14:paraId="5FE0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328FFE74">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337C8F2">
            <w:r>
              <w:rPr>
                <w:rFonts w:ascii="Arial" w:hAnsi="Arial" w:eastAsia="Arial" w:cs="Arial"/>
                <w:sz w:val="20"/>
                <w:szCs w:val="20"/>
              </w:rPr>
              <w:t>Online, Cohort-based — intensive programme, 15–20 hrs/week expected</w:t>
            </w:r>
          </w:p>
        </w:tc>
      </w:tr>
      <w:tr w14:paraId="62F9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22F840FE">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9E54BC7">
            <w:r>
              <w:rPr>
                <w:rFonts w:ascii="Arial" w:hAnsi="Arial" w:eastAsia="Arial" w:cs="Arial"/>
                <w:sz w:val="20"/>
                <w:szCs w:val="20"/>
              </w:rPr>
              <w:t>BP-DA-201 or equivalent; proficiency in Python and basic statistics</w:t>
            </w:r>
          </w:p>
        </w:tc>
      </w:tr>
      <w:tr w14:paraId="07D2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3126A6DC">
            <w:pPr>
              <w:spacing w:after="60"/>
            </w:pPr>
            <w:r>
              <w:rPr>
                <w:rFonts w:ascii="Arial" w:hAnsi="Arial" w:eastAsia="Arial" w:cs="Arial"/>
                <w:b/>
                <w:bCs/>
                <w:color w:val="4A90D9"/>
                <w:sz w:val="22"/>
                <w:szCs w:val="22"/>
              </w:rPr>
              <w:t>Overview</w:t>
            </w:r>
          </w:p>
          <w:p w14:paraId="681629AB">
            <w:pPr>
              <w:spacing w:after="120"/>
            </w:pPr>
            <w:r>
              <w:rPr>
                <w:rFonts w:ascii="Arial" w:hAnsi="Arial" w:eastAsia="Arial" w:cs="Arial"/>
                <w:sz w:val="20"/>
                <w:szCs w:val="20"/>
              </w:rPr>
              <w:t>This advanced programme covers the theoretical foundations and practical implementation of machine learning systems, from supervised and unsupervised learning to model deployment. Learners work with Scikit-learn, TensorFlow, and cloud ML services. Assessment includes two guided projects and a final independent capstone reviewed by a senior ML practitioner.</w:t>
            </w:r>
          </w:p>
          <w:p w14:paraId="36317CD5">
            <w:pPr>
              <w:spacing w:after="60"/>
            </w:pPr>
            <w:r>
              <w:rPr>
                <w:rFonts w:ascii="Arial" w:hAnsi="Arial" w:eastAsia="Arial" w:cs="Arial"/>
                <w:b/>
                <w:bCs/>
                <w:color w:val="4A90D9"/>
                <w:sz w:val="22"/>
                <w:szCs w:val="22"/>
              </w:rPr>
              <w:t>Learning Outcomes</w:t>
            </w:r>
          </w:p>
          <w:p w14:paraId="2B82C86A">
            <w:pPr>
              <w:pStyle w:val="16"/>
              <w:numPr>
                <w:ilvl w:val="0"/>
                <w:numId w:val="1"/>
              </w:numPr>
              <w:spacing w:after="60"/>
            </w:pPr>
            <w:r>
              <w:rPr>
                <w:rFonts w:ascii="Arial" w:hAnsi="Arial" w:eastAsia="Arial" w:cs="Arial"/>
                <w:sz w:val="20"/>
                <w:szCs w:val="20"/>
              </w:rPr>
              <w:t>Implement and tune supervised learning models (regression, classification, ensemble methods)</w:t>
            </w:r>
          </w:p>
          <w:p w14:paraId="395FE76A">
            <w:pPr>
              <w:pStyle w:val="16"/>
              <w:numPr>
                <w:ilvl w:val="0"/>
                <w:numId w:val="1"/>
              </w:numPr>
              <w:spacing w:after="60"/>
            </w:pPr>
            <w:r>
              <w:rPr>
                <w:rFonts w:ascii="Arial" w:hAnsi="Arial" w:eastAsia="Arial" w:cs="Arial"/>
                <w:sz w:val="20"/>
                <w:szCs w:val="20"/>
              </w:rPr>
              <w:t>Apply clustering, dimensionality reduction, and anomaly detection</w:t>
            </w:r>
          </w:p>
          <w:p w14:paraId="40EABC8E">
            <w:pPr>
              <w:pStyle w:val="16"/>
              <w:numPr>
                <w:ilvl w:val="0"/>
                <w:numId w:val="1"/>
              </w:numPr>
              <w:spacing w:after="60"/>
            </w:pPr>
            <w:r>
              <w:rPr>
                <w:rFonts w:ascii="Arial" w:hAnsi="Arial" w:eastAsia="Arial" w:cs="Arial"/>
                <w:sz w:val="20"/>
                <w:szCs w:val="20"/>
              </w:rPr>
              <w:t>Build and train neural networks using TensorFlow and Keras</w:t>
            </w:r>
          </w:p>
          <w:p w14:paraId="5B859B38">
            <w:pPr>
              <w:pStyle w:val="16"/>
              <w:numPr>
                <w:ilvl w:val="0"/>
                <w:numId w:val="1"/>
              </w:numPr>
              <w:spacing w:after="60"/>
            </w:pPr>
            <w:r>
              <w:rPr>
                <w:rFonts w:ascii="Arial" w:hAnsi="Arial" w:eastAsia="Arial" w:cs="Arial"/>
                <w:sz w:val="20"/>
                <w:szCs w:val="20"/>
              </w:rPr>
              <w:t>Evaluate model performance and mitigate bias and overfitting</w:t>
            </w:r>
          </w:p>
          <w:p w14:paraId="2F30D7AD">
            <w:pPr>
              <w:pStyle w:val="16"/>
              <w:numPr>
                <w:ilvl w:val="0"/>
                <w:numId w:val="1"/>
              </w:numPr>
              <w:spacing w:after="60"/>
            </w:pPr>
            <w:r>
              <w:rPr>
                <w:rFonts w:ascii="Arial" w:hAnsi="Arial" w:eastAsia="Arial" w:cs="Arial"/>
                <w:sz w:val="20"/>
                <w:szCs w:val="20"/>
              </w:rPr>
              <w:t>Deploy ML models as REST APIs using FastAPI and Docker</w:t>
            </w:r>
          </w:p>
          <w:p w14:paraId="5497473F">
            <w:pPr>
              <w:pStyle w:val="16"/>
              <w:numPr>
                <w:ilvl w:val="0"/>
                <w:numId w:val="1"/>
              </w:numPr>
              <w:spacing w:after="60"/>
            </w:pPr>
            <w:r>
              <w:rPr>
                <w:rFonts w:ascii="Arial" w:hAnsi="Arial" w:eastAsia="Arial" w:cs="Arial"/>
                <w:sz w:val="20"/>
                <w:szCs w:val="20"/>
              </w:rPr>
              <w:t>Interpret model outputs with SHAP and LIME</w:t>
            </w:r>
          </w:p>
        </w:tc>
      </w:tr>
    </w:tbl>
    <w:p w14:paraId="6908EC35">
      <w:pPr>
        <w:spacing w:after="300"/>
      </w:pPr>
    </w:p>
    <w:p w14:paraId="5CB45F28">
      <w:r>
        <w:br w:type="page"/>
      </w:r>
    </w:p>
    <w:p w14:paraId="51F013AC">
      <w:pPr>
        <w:pStyle w:val="2"/>
        <w:spacing w:before="300" w:after="160"/>
      </w:pPr>
      <w:r>
        <w:rPr>
          <w:rFonts w:ascii="Arial" w:hAnsi="Arial" w:eastAsia="Arial" w:cs="Arial"/>
          <w:b/>
          <w:bCs/>
          <w:color w:val="4A90D9"/>
          <w:sz w:val="36"/>
          <w:szCs w:val="36"/>
        </w:rPr>
        <w:t>Track 2: Business &amp; Management</w:t>
      </w:r>
    </w:p>
    <w:p w14:paraId="6DF2250F">
      <w:pPr>
        <w:pBdr>
          <w:bottom w:val="single" w:color="4A90D9" w:sz="8"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9A4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6C637088">
            <w:r>
              <w:rPr>
                <w:rFonts w:ascii="Arial" w:hAnsi="Arial" w:eastAsia="Arial" w:cs="Arial"/>
                <w:b/>
                <w:bCs/>
                <w:color w:val="FFFFFF"/>
                <w:sz w:val="26"/>
                <w:szCs w:val="26"/>
              </w:rPr>
              <w:t>Digital Marketing Essentials</w:t>
            </w:r>
            <w:r>
              <w:rPr>
                <w:rFonts w:ascii="Arial" w:hAnsi="Arial" w:eastAsia="Arial" w:cs="Arial"/>
                <w:color w:val="CCE4FF"/>
                <w:sz w:val="20"/>
                <w:szCs w:val="20"/>
              </w:rPr>
              <w:t xml:space="preserve">  |  BP-DM-101 | BG</w:t>
            </w:r>
          </w:p>
        </w:tc>
      </w:tr>
      <w:tr w14:paraId="4B8B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4C711A6">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FAF77AF">
            <w:r>
              <w:rPr>
                <w:rFonts w:ascii="Arial" w:hAnsi="Arial" w:eastAsia="Arial" w:cs="Arial"/>
                <w:sz w:val="20"/>
                <w:szCs w:val="20"/>
              </w:rPr>
              <w:t>Beginner</w:t>
            </w:r>
          </w:p>
        </w:tc>
      </w:tr>
      <w:tr w14:paraId="0D71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779E2A1C">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0AFB361">
            <w:r>
              <w:rPr>
                <w:rFonts w:ascii="Arial" w:hAnsi="Arial" w:eastAsia="Arial" w:cs="Arial"/>
                <w:sz w:val="20"/>
                <w:szCs w:val="20"/>
              </w:rPr>
              <w:t>6 weeks (Self-paced)</w:t>
            </w:r>
          </w:p>
        </w:tc>
      </w:tr>
      <w:tr w14:paraId="09BD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172AB8A2">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1E8D287">
            <w:pPr>
              <w:rPr>
                <w:rFonts w:hint="default"/>
                <w:lang w:val="en-GB"/>
              </w:rPr>
            </w:pPr>
            <w:r>
              <w:rPr>
                <w:rFonts w:cs="Arial"/>
                <w:sz w:val="20"/>
                <w:szCs w:val="20"/>
                <w:lang w:val="en-GB"/>
              </w:rPr>
              <w:t>N</w:t>
            </w:r>
            <w:r>
              <w:rPr>
                <w:rFonts w:ascii="Arial" w:hAnsi="Arial" w:eastAsia="Arial" w:cs="Arial"/>
                <w:sz w:val="20"/>
                <w:szCs w:val="20"/>
              </w:rPr>
              <w:t xml:space="preserve">99 </w:t>
            </w:r>
            <w:r>
              <w:rPr>
                <w:rFonts w:cs="Arial"/>
                <w:sz w:val="20"/>
                <w:szCs w:val="20"/>
                <w:lang w:val="en-GB"/>
              </w:rPr>
              <w:t>NGN</w:t>
            </w:r>
          </w:p>
        </w:tc>
      </w:tr>
      <w:tr w14:paraId="2B67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51329D7B">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8ED6685">
            <w:r>
              <w:rPr>
                <w:rFonts w:ascii="Arial" w:hAnsi="Arial" w:eastAsia="Arial" w:cs="Arial"/>
                <w:sz w:val="20"/>
                <w:szCs w:val="20"/>
              </w:rPr>
              <w:t>100% Online, Self-Paced</w:t>
            </w:r>
          </w:p>
        </w:tc>
      </w:tr>
      <w:tr w14:paraId="6D1F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4408694D">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96087E3">
            <w:r>
              <w:rPr>
                <w:rFonts w:ascii="Arial" w:hAnsi="Arial" w:eastAsia="Arial" w:cs="Arial"/>
                <w:sz w:val="20"/>
                <w:szCs w:val="20"/>
              </w:rPr>
              <w:t>None</w:t>
            </w:r>
          </w:p>
        </w:tc>
      </w:tr>
      <w:tr w14:paraId="3E0B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2F42FAA0">
            <w:pPr>
              <w:spacing w:after="60"/>
            </w:pPr>
            <w:r>
              <w:rPr>
                <w:rFonts w:ascii="Arial" w:hAnsi="Arial" w:eastAsia="Arial" w:cs="Arial"/>
                <w:b/>
                <w:bCs/>
                <w:color w:val="4A90D9"/>
                <w:sz w:val="22"/>
                <w:szCs w:val="22"/>
              </w:rPr>
              <w:t>Overview</w:t>
            </w:r>
          </w:p>
          <w:p w14:paraId="5FB83736">
            <w:pPr>
              <w:spacing w:after="120"/>
            </w:pPr>
            <w:r>
              <w:rPr>
                <w:rFonts w:ascii="Arial" w:hAnsi="Arial" w:eastAsia="Arial" w:cs="Arial"/>
                <w:sz w:val="20"/>
                <w:szCs w:val="20"/>
              </w:rPr>
              <w:t>Gain practical skills in digital marketing channels including SEO, email marketing, paid advertising, and social media strategy. The course uses real-world campaign case studies and includes a final project where you design a digital marketing plan for a fictional brand. Ideal for entrepreneurs, marketing assistants, and communications professionals.</w:t>
            </w:r>
          </w:p>
          <w:p w14:paraId="0BBBD08B">
            <w:pPr>
              <w:spacing w:after="60"/>
            </w:pPr>
            <w:r>
              <w:rPr>
                <w:rFonts w:ascii="Arial" w:hAnsi="Arial" w:eastAsia="Arial" w:cs="Arial"/>
                <w:b/>
                <w:bCs/>
                <w:color w:val="4A90D9"/>
                <w:sz w:val="22"/>
                <w:szCs w:val="22"/>
              </w:rPr>
              <w:t>Learning Outcomes</w:t>
            </w:r>
          </w:p>
          <w:p w14:paraId="13AD18FE">
            <w:pPr>
              <w:pStyle w:val="16"/>
              <w:numPr>
                <w:ilvl w:val="0"/>
                <w:numId w:val="1"/>
              </w:numPr>
              <w:spacing w:after="60"/>
            </w:pPr>
            <w:r>
              <w:rPr>
                <w:rFonts w:ascii="Arial" w:hAnsi="Arial" w:eastAsia="Arial" w:cs="Arial"/>
                <w:sz w:val="20"/>
                <w:szCs w:val="20"/>
              </w:rPr>
              <w:t>Develop an integrated digital marketing strategy</w:t>
            </w:r>
          </w:p>
          <w:p w14:paraId="32864E24">
            <w:pPr>
              <w:pStyle w:val="16"/>
              <w:numPr>
                <w:ilvl w:val="0"/>
                <w:numId w:val="1"/>
              </w:numPr>
              <w:spacing w:after="60"/>
            </w:pPr>
            <w:r>
              <w:rPr>
                <w:rFonts w:ascii="Arial" w:hAnsi="Arial" w:eastAsia="Arial" w:cs="Arial"/>
                <w:sz w:val="20"/>
                <w:szCs w:val="20"/>
              </w:rPr>
              <w:t>Optimise content for search engines (SEO fundamentals)</w:t>
            </w:r>
          </w:p>
          <w:p w14:paraId="53584C95">
            <w:pPr>
              <w:pStyle w:val="16"/>
              <w:numPr>
                <w:ilvl w:val="0"/>
                <w:numId w:val="1"/>
              </w:numPr>
              <w:spacing w:after="60"/>
            </w:pPr>
            <w:r>
              <w:rPr>
                <w:rFonts w:ascii="Arial" w:hAnsi="Arial" w:eastAsia="Arial" w:cs="Arial"/>
                <w:sz w:val="20"/>
                <w:szCs w:val="20"/>
              </w:rPr>
              <w:t>Design and analyse email marketing campaigns</w:t>
            </w:r>
          </w:p>
          <w:p w14:paraId="272B0820">
            <w:pPr>
              <w:pStyle w:val="16"/>
              <w:numPr>
                <w:ilvl w:val="0"/>
                <w:numId w:val="1"/>
              </w:numPr>
              <w:spacing w:after="60"/>
            </w:pPr>
            <w:r>
              <w:rPr>
                <w:rFonts w:ascii="Arial" w:hAnsi="Arial" w:eastAsia="Arial" w:cs="Arial"/>
                <w:sz w:val="20"/>
                <w:szCs w:val="20"/>
              </w:rPr>
              <w:t>Run basic paid ad campaigns on Google and Meta platforms</w:t>
            </w:r>
          </w:p>
          <w:p w14:paraId="4805C59E">
            <w:pPr>
              <w:pStyle w:val="16"/>
              <w:numPr>
                <w:ilvl w:val="0"/>
                <w:numId w:val="1"/>
              </w:numPr>
              <w:spacing w:after="60"/>
            </w:pPr>
            <w:r>
              <w:rPr>
                <w:rFonts w:ascii="Arial" w:hAnsi="Arial" w:eastAsia="Arial" w:cs="Arial"/>
                <w:sz w:val="20"/>
                <w:szCs w:val="20"/>
              </w:rPr>
              <w:t>Measure campaign performance using Google Analytics 4</w:t>
            </w:r>
          </w:p>
        </w:tc>
      </w:tr>
    </w:tbl>
    <w:p w14:paraId="5583443A">
      <w:pPr>
        <w:spacing w:after="3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D27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2F44F8DC">
            <w:r>
              <w:rPr>
                <w:rFonts w:ascii="Arial" w:hAnsi="Arial" w:eastAsia="Arial" w:cs="Arial"/>
                <w:b/>
                <w:bCs/>
                <w:color w:val="FFFFFF"/>
                <w:sz w:val="26"/>
                <w:szCs w:val="26"/>
              </w:rPr>
              <w:t>Project Management Professional Prep</w:t>
            </w:r>
            <w:r>
              <w:rPr>
                <w:rFonts w:ascii="Arial" w:hAnsi="Arial" w:eastAsia="Arial" w:cs="Arial"/>
                <w:color w:val="CCE4FF"/>
                <w:sz w:val="20"/>
                <w:szCs w:val="20"/>
              </w:rPr>
              <w:t xml:space="preserve">  |  BP-PM-301 | IN</w:t>
            </w:r>
          </w:p>
        </w:tc>
      </w:tr>
      <w:tr w14:paraId="6C25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26668342">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EF90867">
            <w:r>
              <w:rPr>
                <w:rFonts w:ascii="Arial" w:hAnsi="Arial" w:eastAsia="Arial" w:cs="Arial"/>
                <w:sz w:val="20"/>
                <w:szCs w:val="20"/>
              </w:rPr>
              <w:t>Intermediate</w:t>
            </w:r>
          </w:p>
        </w:tc>
      </w:tr>
      <w:tr w14:paraId="7F4B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7FEF3086">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465E03C">
            <w:r>
              <w:rPr>
                <w:rFonts w:ascii="Arial" w:hAnsi="Arial" w:eastAsia="Arial" w:cs="Arial"/>
                <w:sz w:val="20"/>
                <w:szCs w:val="20"/>
              </w:rPr>
              <w:t>12 weeks (Cohort-based)</w:t>
            </w:r>
          </w:p>
        </w:tc>
      </w:tr>
      <w:tr w14:paraId="287A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6E95BE26">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4A346E7">
            <w:r>
              <w:rPr>
                <w:rFonts w:cs="Arial"/>
                <w:sz w:val="20"/>
                <w:szCs w:val="20"/>
                <w:lang w:val="en-GB"/>
              </w:rPr>
              <w:t>N</w:t>
            </w:r>
            <w:r>
              <w:rPr>
                <w:rFonts w:ascii="Arial" w:hAnsi="Arial" w:eastAsia="Arial" w:cs="Arial"/>
                <w:sz w:val="20"/>
                <w:szCs w:val="20"/>
              </w:rPr>
              <w:t xml:space="preserve">549 </w:t>
            </w:r>
            <w:r>
              <w:rPr>
                <w:rFonts w:cs="Arial"/>
                <w:sz w:val="20"/>
                <w:szCs w:val="20"/>
                <w:lang w:val="en-GB"/>
              </w:rPr>
              <w:t>NGN</w:t>
            </w:r>
            <w:r>
              <w:rPr>
                <w:rFonts w:ascii="Arial" w:hAnsi="Arial" w:eastAsia="Arial" w:cs="Arial"/>
                <w:sz w:val="20"/>
                <w:szCs w:val="20"/>
              </w:rPr>
              <w:t xml:space="preserve">  |  Split-Pay available</w:t>
            </w:r>
          </w:p>
        </w:tc>
      </w:tr>
      <w:tr w14:paraId="7120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4F8B472F">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1693D58">
            <w:r>
              <w:rPr>
                <w:rFonts w:ascii="Arial" w:hAnsi="Arial" w:eastAsia="Arial" w:cs="Arial"/>
                <w:sz w:val="20"/>
                <w:szCs w:val="20"/>
              </w:rPr>
              <w:t>Online, Cohort-based — aligned with PMI PMP Examination Content Outline</w:t>
            </w:r>
          </w:p>
        </w:tc>
      </w:tr>
      <w:tr w14:paraId="6B7B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037503AF">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98658DF">
            <w:r>
              <w:rPr>
                <w:rFonts w:ascii="Arial" w:hAnsi="Arial" w:eastAsia="Arial" w:cs="Arial"/>
                <w:sz w:val="20"/>
                <w:szCs w:val="20"/>
              </w:rPr>
              <w:t>2+ years of work experience in any professional setting; no PM certification required</w:t>
            </w:r>
          </w:p>
        </w:tc>
      </w:tr>
      <w:tr w14:paraId="789C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6CFE5DEE">
            <w:pPr>
              <w:spacing w:after="60"/>
            </w:pPr>
            <w:r>
              <w:rPr>
                <w:rFonts w:ascii="Arial" w:hAnsi="Arial" w:eastAsia="Arial" w:cs="Arial"/>
                <w:b/>
                <w:bCs/>
                <w:color w:val="4A90D9"/>
                <w:sz w:val="22"/>
                <w:szCs w:val="22"/>
              </w:rPr>
              <w:t>Overview</w:t>
            </w:r>
          </w:p>
          <w:p w14:paraId="674C9216">
            <w:pPr>
              <w:spacing w:after="120"/>
            </w:pPr>
            <w:r>
              <w:rPr>
                <w:rFonts w:ascii="Arial" w:hAnsi="Arial" w:eastAsia="Arial" w:cs="Arial"/>
                <w:sz w:val="20"/>
                <w:szCs w:val="20"/>
              </w:rPr>
              <w:t>This programme prepares learners for the PMI Project Management Professional (PMP) certification examination while building hands-on project management skills. You will cover agile, waterfall, and hybrid methodologies. Includes 40 contact hours of PM education required by PMI. Mock examinations and exam coaching are included.</w:t>
            </w:r>
          </w:p>
          <w:p w14:paraId="166D0D91">
            <w:pPr>
              <w:spacing w:after="60"/>
            </w:pPr>
            <w:r>
              <w:rPr>
                <w:rFonts w:ascii="Arial" w:hAnsi="Arial" w:eastAsia="Arial" w:cs="Arial"/>
                <w:b/>
                <w:bCs/>
                <w:color w:val="4A90D9"/>
                <w:sz w:val="22"/>
                <w:szCs w:val="22"/>
              </w:rPr>
              <w:t>Learning Outcomes</w:t>
            </w:r>
          </w:p>
          <w:p w14:paraId="25385343">
            <w:pPr>
              <w:pStyle w:val="16"/>
              <w:numPr>
                <w:ilvl w:val="0"/>
                <w:numId w:val="1"/>
              </w:numPr>
              <w:spacing w:after="60"/>
            </w:pPr>
            <w:r>
              <w:rPr>
                <w:rFonts w:ascii="Arial" w:hAnsi="Arial" w:eastAsia="Arial" w:cs="Arial"/>
                <w:sz w:val="20"/>
                <w:szCs w:val="20"/>
              </w:rPr>
              <w:t>Apply predictive, agile, and hybrid project management frameworks</w:t>
            </w:r>
          </w:p>
          <w:p w14:paraId="22CF274F">
            <w:pPr>
              <w:pStyle w:val="16"/>
              <w:numPr>
                <w:ilvl w:val="0"/>
                <w:numId w:val="1"/>
              </w:numPr>
              <w:spacing w:after="60"/>
            </w:pPr>
            <w:r>
              <w:rPr>
                <w:rFonts w:ascii="Arial" w:hAnsi="Arial" w:eastAsia="Arial" w:cs="Arial"/>
                <w:sz w:val="20"/>
                <w:szCs w:val="20"/>
              </w:rPr>
              <w:t>Develop project charters, WBS, schedules, and risk registers</w:t>
            </w:r>
          </w:p>
          <w:p w14:paraId="5031C3EC">
            <w:pPr>
              <w:pStyle w:val="16"/>
              <w:numPr>
                <w:ilvl w:val="0"/>
                <w:numId w:val="1"/>
              </w:numPr>
              <w:spacing w:after="60"/>
            </w:pPr>
            <w:r>
              <w:rPr>
                <w:rFonts w:ascii="Arial" w:hAnsi="Arial" w:eastAsia="Arial" w:cs="Arial"/>
                <w:sz w:val="20"/>
                <w:szCs w:val="20"/>
              </w:rPr>
              <w:t>Lead stakeholder communication and change management</w:t>
            </w:r>
          </w:p>
          <w:p w14:paraId="103CB366">
            <w:pPr>
              <w:pStyle w:val="16"/>
              <w:numPr>
                <w:ilvl w:val="0"/>
                <w:numId w:val="1"/>
              </w:numPr>
              <w:spacing w:after="60"/>
            </w:pPr>
            <w:r>
              <w:rPr>
                <w:rFonts w:ascii="Arial" w:hAnsi="Arial" w:eastAsia="Arial" w:cs="Arial"/>
                <w:sz w:val="20"/>
                <w:szCs w:val="20"/>
              </w:rPr>
              <w:t>Prepare for and sit the PMP certification examination</w:t>
            </w:r>
          </w:p>
          <w:p w14:paraId="37A3279D">
            <w:pPr>
              <w:pStyle w:val="16"/>
              <w:numPr>
                <w:ilvl w:val="0"/>
                <w:numId w:val="1"/>
              </w:numPr>
              <w:spacing w:after="60"/>
            </w:pPr>
            <w:r>
              <w:rPr>
                <w:rFonts w:ascii="Arial" w:hAnsi="Arial" w:eastAsia="Arial" w:cs="Arial"/>
                <w:sz w:val="20"/>
                <w:szCs w:val="20"/>
              </w:rPr>
              <w:t>Use tools including MS Project, Jira, and Asana</w:t>
            </w:r>
          </w:p>
        </w:tc>
      </w:tr>
    </w:tbl>
    <w:p w14:paraId="1471AFB4">
      <w:pPr>
        <w:spacing w:after="300"/>
      </w:pPr>
    </w:p>
    <w:p w14:paraId="28C5DE74">
      <w:r>
        <w:br w:type="page"/>
      </w:r>
    </w:p>
    <w:p w14:paraId="2CBA86B3">
      <w:pPr>
        <w:pStyle w:val="2"/>
        <w:spacing w:before="300" w:after="160"/>
      </w:pPr>
      <w:r>
        <w:rPr>
          <w:rFonts w:ascii="Arial" w:hAnsi="Arial" w:eastAsia="Arial" w:cs="Arial"/>
          <w:b/>
          <w:bCs/>
          <w:color w:val="4A90D9"/>
          <w:sz w:val="36"/>
          <w:szCs w:val="36"/>
        </w:rPr>
        <w:t>Track 3: Creative Industries</w:t>
      </w:r>
    </w:p>
    <w:p w14:paraId="7B762226">
      <w:pPr>
        <w:pBdr>
          <w:bottom w:val="single" w:color="4A90D9" w:sz="8"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FF1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4A90D9" w:sz="0" w:space="0"/>
              <w:left w:val="single" w:color="4A90D9" w:sz="0" w:space="0"/>
              <w:bottom w:val="single" w:color="4A90D9" w:sz="0" w:space="0"/>
              <w:right w:val="single" w:color="4A90D9" w:sz="0" w:space="0"/>
            </w:tcBorders>
            <w:shd w:val="clear" w:color="auto" w:fill="4A90D9"/>
            <w:tcMar>
              <w:top w:w="120" w:type="dxa"/>
              <w:left w:w="200" w:type="dxa"/>
              <w:bottom w:w="120" w:type="dxa"/>
              <w:right w:w="200" w:type="dxa"/>
            </w:tcMar>
          </w:tcPr>
          <w:p w14:paraId="4E4334DF">
            <w:r>
              <w:rPr>
                <w:rFonts w:ascii="Arial" w:hAnsi="Arial" w:eastAsia="Arial" w:cs="Arial"/>
                <w:b/>
                <w:bCs/>
                <w:color w:val="FFFFFF"/>
                <w:sz w:val="26"/>
                <w:szCs w:val="26"/>
              </w:rPr>
              <w:t>UX Design: Research to Prototype</w:t>
            </w:r>
            <w:r>
              <w:rPr>
                <w:rFonts w:ascii="Arial" w:hAnsi="Arial" w:eastAsia="Arial" w:cs="Arial"/>
                <w:color w:val="CCE4FF"/>
                <w:sz w:val="20"/>
                <w:szCs w:val="20"/>
              </w:rPr>
              <w:t xml:space="preserve">  |  BP-UX-201 | IN</w:t>
            </w:r>
          </w:p>
        </w:tc>
      </w:tr>
      <w:tr w14:paraId="5BBB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53B1F573">
            <w:r>
              <w:rPr>
                <w:rFonts w:ascii="Arial" w:hAnsi="Arial" w:eastAsia="Arial" w:cs="Arial"/>
                <w:b/>
                <w:bCs/>
                <w:color w:val="1A1A2E"/>
                <w:sz w:val="20"/>
                <w:szCs w:val="20"/>
              </w:rPr>
              <w:t>Level</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1B9E90A">
            <w:r>
              <w:rPr>
                <w:rFonts w:ascii="Arial" w:hAnsi="Arial" w:eastAsia="Arial" w:cs="Arial"/>
                <w:sz w:val="20"/>
                <w:szCs w:val="20"/>
              </w:rPr>
              <w:t>Intermediate</w:t>
            </w:r>
          </w:p>
        </w:tc>
      </w:tr>
      <w:tr w14:paraId="16AA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01A0BA88">
            <w:r>
              <w:rPr>
                <w:rFonts w:ascii="Arial" w:hAnsi="Arial" w:eastAsia="Arial" w:cs="Arial"/>
                <w:b/>
                <w:bCs/>
                <w:color w:val="1A1A2E"/>
                <w:sz w:val="20"/>
                <w:szCs w:val="20"/>
              </w:rPr>
              <w:t>Duration</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77C457A">
            <w:r>
              <w:rPr>
                <w:rFonts w:ascii="Arial" w:hAnsi="Arial" w:eastAsia="Arial" w:cs="Arial"/>
                <w:sz w:val="20"/>
                <w:szCs w:val="20"/>
              </w:rPr>
              <w:t>10 weeks (Cohort-based)</w:t>
            </w:r>
          </w:p>
        </w:tc>
      </w:tr>
      <w:tr w14:paraId="0E87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6A630DDD">
            <w:r>
              <w:rPr>
                <w:rFonts w:ascii="Arial" w:hAnsi="Arial" w:eastAsia="Arial" w:cs="Arial"/>
                <w:b/>
                <w:bCs/>
                <w:color w:val="1A1A2E"/>
                <w:sz w:val="20"/>
                <w:szCs w:val="20"/>
              </w:rPr>
              <w:t>Price</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0EE2DFB">
            <w:r>
              <w:rPr>
                <w:rFonts w:cs="Arial"/>
                <w:sz w:val="20"/>
                <w:szCs w:val="20"/>
                <w:lang w:val="en-GB"/>
              </w:rPr>
              <w:t>N</w:t>
            </w:r>
            <w:r>
              <w:rPr>
                <w:rFonts w:ascii="Arial" w:hAnsi="Arial" w:eastAsia="Arial" w:cs="Arial"/>
                <w:sz w:val="20"/>
                <w:szCs w:val="20"/>
              </w:rPr>
              <w:t xml:space="preserve">399 </w:t>
            </w:r>
            <w:r>
              <w:rPr>
                <w:rFonts w:cs="Arial"/>
                <w:sz w:val="20"/>
                <w:szCs w:val="20"/>
                <w:lang w:val="en-GB"/>
              </w:rPr>
              <w:t>NGN</w:t>
            </w:r>
            <w:r>
              <w:rPr>
                <w:rFonts w:ascii="Arial" w:hAnsi="Arial" w:eastAsia="Arial" w:cs="Arial"/>
                <w:sz w:val="20"/>
                <w:szCs w:val="20"/>
              </w:rPr>
              <w:t xml:space="preserve">  |  Split-Pay available</w:t>
            </w:r>
          </w:p>
        </w:tc>
      </w:tr>
      <w:tr w14:paraId="19FD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0777F888">
            <w:r>
              <w:rPr>
                <w:rFonts w:ascii="Arial" w:hAnsi="Arial" w:eastAsia="Arial" w:cs="Arial"/>
                <w:b/>
                <w:bCs/>
                <w:color w:val="1A1A2E"/>
                <w:sz w:val="20"/>
                <w:szCs w:val="20"/>
              </w:rPr>
              <w:t>Format</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A69B6F5">
            <w:r>
              <w:rPr>
                <w:rFonts w:ascii="Arial" w:hAnsi="Arial" w:eastAsia="Arial" w:cs="Arial"/>
                <w:sz w:val="20"/>
                <w:szCs w:val="20"/>
              </w:rPr>
              <w:t>Online, Cohort-based with live critique sessions</w:t>
            </w:r>
          </w:p>
        </w:tc>
      </w:tr>
      <w:tr w14:paraId="65BE9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60" w:type="dxa"/>
              <w:bottom w:w="80" w:type="dxa"/>
              <w:right w:w="120" w:type="dxa"/>
            </w:tcMar>
          </w:tcPr>
          <w:p w14:paraId="53176EC4">
            <w:r>
              <w:rPr>
                <w:rFonts w:ascii="Arial" w:hAnsi="Arial" w:eastAsia="Arial" w:cs="Arial"/>
                <w:b/>
                <w:bCs/>
                <w:color w:val="1A1A2E"/>
                <w:sz w:val="20"/>
                <w:szCs w:val="20"/>
              </w:rPr>
              <w:t>Prerequisites</w:t>
            </w:r>
          </w:p>
        </w:tc>
        <w:tc>
          <w:tcPr>
            <w:tcW w:w="716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711A7F61">
            <w:r>
              <w:rPr>
                <w:rFonts w:ascii="Arial" w:hAnsi="Arial" w:eastAsia="Arial" w:cs="Arial"/>
                <w:sz w:val="20"/>
                <w:szCs w:val="20"/>
              </w:rPr>
              <w:t>No coding required; familiarity with basic computer use</w:t>
            </w:r>
          </w:p>
        </w:tc>
      </w:tr>
      <w:tr w14:paraId="2B53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tcMar>
              <w:top w:w="120" w:type="dxa"/>
              <w:left w:w="200" w:type="dxa"/>
              <w:bottom w:w="120" w:type="dxa"/>
              <w:right w:w="200" w:type="dxa"/>
            </w:tcMar>
          </w:tcPr>
          <w:p w14:paraId="0994F317">
            <w:pPr>
              <w:spacing w:after="60"/>
            </w:pPr>
            <w:r>
              <w:rPr>
                <w:rFonts w:ascii="Arial" w:hAnsi="Arial" w:eastAsia="Arial" w:cs="Arial"/>
                <w:b/>
                <w:bCs/>
                <w:color w:val="4A90D9"/>
                <w:sz w:val="22"/>
                <w:szCs w:val="22"/>
              </w:rPr>
              <w:t>Overview</w:t>
            </w:r>
          </w:p>
          <w:p w14:paraId="26F0CF1F">
            <w:pPr>
              <w:spacing w:after="120"/>
            </w:pPr>
            <w:r>
              <w:rPr>
                <w:rFonts w:ascii="Arial" w:hAnsi="Arial" w:eastAsia="Arial" w:cs="Arial"/>
                <w:sz w:val="20"/>
                <w:szCs w:val="20"/>
              </w:rPr>
              <w:t>This programme covers the end-to-end UX design process: user research, information architecture, wireframing, interactive prototyping, and usability testing. You will use industry-standard tools including Figma and FigJam. The course includes three design sprints and a portfolio-ready final project critiqued by a practising UX designer.</w:t>
            </w:r>
          </w:p>
          <w:p w14:paraId="0E11C0E6">
            <w:pPr>
              <w:spacing w:after="60"/>
            </w:pPr>
            <w:r>
              <w:rPr>
                <w:rFonts w:ascii="Arial" w:hAnsi="Arial" w:eastAsia="Arial" w:cs="Arial"/>
                <w:b/>
                <w:bCs/>
                <w:color w:val="4A90D9"/>
                <w:sz w:val="22"/>
                <w:szCs w:val="22"/>
              </w:rPr>
              <w:t>Learning Outcomes</w:t>
            </w:r>
          </w:p>
          <w:p w14:paraId="193FF5AB">
            <w:pPr>
              <w:pStyle w:val="16"/>
              <w:numPr>
                <w:ilvl w:val="0"/>
                <w:numId w:val="1"/>
              </w:numPr>
              <w:spacing w:after="60"/>
            </w:pPr>
            <w:r>
              <w:rPr>
                <w:rFonts w:ascii="Arial" w:hAnsi="Arial" w:eastAsia="Arial" w:cs="Arial"/>
                <w:sz w:val="20"/>
                <w:szCs w:val="20"/>
              </w:rPr>
              <w:t xml:space="preserve">Plan and conduct user interviews and </w:t>
            </w:r>
            <w:bookmarkStart w:id="0" w:name="_GoBack"/>
            <w:r>
              <w:rPr>
                <w:rFonts w:ascii="Arial" w:hAnsi="Arial" w:eastAsia="Arial" w:cs="Arial"/>
                <w:sz w:val="20"/>
                <w:szCs w:val="20"/>
              </w:rPr>
              <w:t>usa</w:t>
            </w:r>
            <w:bookmarkEnd w:id="0"/>
            <w:r>
              <w:rPr>
                <w:rFonts w:ascii="Arial" w:hAnsi="Arial" w:eastAsia="Arial" w:cs="Arial"/>
                <w:sz w:val="20"/>
                <w:szCs w:val="20"/>
              </w:rPr>
              <w:t>bility tests</w:t>
            </w:r>
          </w:p>
          <w:p w14:paraId="50B914DF">
            <w:pPr>
              <w:pStyle w:val="16"/>
              <w:numPr>
                <w:ilvl w:val="0"/>
                <w:numId w:val="1"/>
              </w:numPr>
              <w:spacing w:after="60"/>
            </w:pPr>
            <w:r>
              <w:rPr>
                <w:rFonts w:ascii="Arial" w:hAnsi="Arial" w:eastAsia="Arial" w:cs="Arial"/>
                <w:sz w:val="20"/>
                <w:szCs w:val="20"/>
              </w:rPr>
              <w:t>Create user personas, journey maps, and information architectures</w:t>
            </w:r>
          </w:p>
          <w:p w14:paraId="1E67FCD9">
            <w:pPr>
              <w:pStyle w:val="16"/>
              <w:numPr>
                <w:ilvl w:val="0"/>
                <w:numId w:val="1"/>
              </w:numPr>
              <w:spacing w:after="60"/>
            </w:pPr>
            <w:r>
              <w:rPr>
                <w:rFonts w:ascii="Arial" w:hAnsi="Arial" w:eastAsia="Arial" w:cs="Arial"/>
                <w:sz w:val="20"/>
                <w:szCs w:val="20"/>
              </w:rPr>
              <w:t>Produce low-fidelity wireframes and high-fidelity Figma prototypes</w:t>
            </w:r>
          </w:p>
          <w:p w14:paraId="7A67CDDE">
            <w:pPr>
              <w:pStyle w:val="16"/>
              <w:numPr>
                <w:ilvl w:val="0"/>
                <w:numId w:val="1"/>
              </w:numPr>
              <w:spacing w:after="60"/>
            </w:pPr>
            <w:r>
              <w:rPr>
                <w:rFonts w:ascii="Arial" w:hAnsi="Arial" w:eastAsia="Arial" w:cs="Arial"/>
                <w:sz w:val="20"/>
                <w:szCs w:val="20"/>
              </w:rPr>
              <w:t>Apply accessibility (WCAG 2.1) principles to design decisions</w:t>
            </w:r>
          </w:p>
          <w:p w14:paraId="4F6B4092">
            <w:pPr>
              <w:pStyle w:val="16"/>
              <w:numPr>
                <w:ilvl w:val="0"/>
                <w:numId w:val="1"/>
              </w:numPr>
              <w:spacing w:after="60"/>
            </w:pPr>
            <w:r>
              <w:rPr>
                <w:rFonts w:ascii="Arial" w:hAnsi="Arial" w:eastAsia="Arial" w:cs="Arial"/>
                <w:sz w:val="20"/>
                <w:szCs w:val="20"/>
              </w:rPr>
              <w:t>Present and defend design decisions to stakeholders</w:t>
            </w:r>
          </w:p>
        </w:tc>
      </w:tr>
    </w:tbl>
    <w:p w14:paraId="6BCCD5F7">
      <w:pPr>
        <w:spacing w:after="300"/>
      </w:pPr>
    </w:p>
    <w:p w14:paraId="75E91AB4">
      <w:pPr>
        <w:spacing w:after="3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8F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5A623" w:sz="4" w:space="0"/>
              <w:left w:val="single" w:color="F5A623" w:sz="8" w:space="0"/>
              <w:bottom w:val="single" w:color="F5A623" w:sz="4" w:space="0"/>
              <w:right w:val="single" w:color="F5A623" w:sz="0" w:space="0"/>
            </w:tcBorders>
            <w:shd w:val="clear" w:color="auto" w:fill="FFFBF0"/>
            <w:tcMar>
              <w:top w:w="120" w:type="dxa"/>
              <w:left w:w="200" w:type="dxa"/>
              <w:bottom w:w="120" w:type="dxa"/>
              <w:right w:w="200" w:type="dxa"/>
            </w:tcMar>
          </w:tcPr>
          <w:p w14:paraId="27FBFD21">
            <w:pPr>
              <w:spacing w:after="60"/>
            </w:pPr>
            <w:r>
              <w:rPr>
                <w:rFonts w:ascii="Arial" w:hAnsi="Arial" w:eastAsia="Arial" w:cs="Arial"/>
                <w:b/>
                <w:bCs/>
                <w:color w:val="8B5E00"/>
                <w:sz w:val="20"/>
                <w:szCs w:val="20"/>
              </w:rPr>
              <w:t>Catalogue Notes</w:t>
            </w:r>
          </w:p>
          <w:p w14:paraId="71AA3FE5">
            <w:pPr>
              <w:spacing w:after="60"/>
            </w:pPr>
            <w:r>
              <w:rPr>
                <w:rFonts w:ascii="Arial" w:hAnsi="Arial" w:eastAsia="Arial" w:cs="Arial"/>
                <w:sz w:val="20"/>
                <w:szCs w:val="20"/>
              </w:rPr>
              <w:t>All prices exclude applicable taxes. Taxes are calculated at checkout based on your location.</w:t>
            </w:r>
          </w:p>
          <w:p w14:paraId="1F22DB04">
            <w:pPr>
              <w:spacing w:after="60"/>
            </w:pPr>
            <w:r>
              <w:rPr>
                <w:rFonts w:ascii="Arial" w:hAnsi="Arial" w:eastAsia="Arial" w:cs="Arial"/>
                <w:sz w:val="20"/>
                <w:szCs w:val="20"/>
              </w:rPr>
              <w:t>BrightPath Academy reserves the right to update course content, pricing, and scheduling with 30 days notice.</w:t>
            </w:r>
          </w:p>
          <w:p w14:paraId="549E31CA">
            <w:pPr>
              <w:spacing w:after="60"/>
            </w:pPr>
            <w:r>
              <w:rPr>
                <w:rFonts w:ascii="Arial" w:hAnsi="Arial" w:eastAsia="Arial" w:cs="Arial"/>
                <w:sz w:val="20"/>
                <w:szCs w:val="20"/>
              </w:rPr>
              <w:t>Full programme list: www.brightpathacademy.io/courses  |  Admissions: admissions@brightpathacademy.io</w:t>
            </w:r>
          </w:p>
        </w:tc>
      </w:tr>
    </w:tbl>
    <w:p w14:paraId="7F0C026A"/>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2EE25">
    <w:pPr>
      <w:pBdr>
        <w:top w:val="single" w:color="4A90D9" w:sz="4" w:space="1"/>
      </w:pBdr>
      <w:tabs>
        <w:tab w:val="right" w:pos="9360"/>
      </w:tabs>
      <w:spacing w:before="80"/>
    </w:pPr>
    <w:r>
      <w:rPr>
        <w:rFonts w:ascii="Arial" w:hAnsi="Arial" w:eastAsia="Arial" w:cs="Arial"/>
        <w:color w:val="888888"/>
        <w:sz w:val="16"/>
        <w:szCs w:val="16"/>
      </w:rPr>
      <w:t>Confidential — Internal Knowledge Base Document</w:t>
    </w:r>
    <w:r>
      <w:rPr>
        <w:rFonts w:ascii="Arial" w:hAnsi="Arial" w:eastAsia="Arial" w:cs="Arial"/>
        <w:color w:val="888888"/>
        <w:sz w:val="16"/>
        <w:szCs w:val="16"/>
      </w:rPr>
      <w:tab/>
      <w:t>BrightPath Academy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FC566">
    <w:pPr>
      <w:pBdr>
        <w:bottom w:val="single" w:color="4A90D9" w:sz="4" w:space="1"/>
      </w:pBdr>
      <w:tabs>
        <w:tab w:val="right" w:pos="9360"/>
      </w:tabs>
      <w:spacing w:after="80"/>
    </w:pPr>
    <w:r>
      <w:rPr>
        <w:rFonts w:ascii="Arial" w:hAnsi="Arial" w:eastAsia="Arial" w:cs="Arial"/>
        <w:b/>
        <w:bCs/>
        <w:color w:val="4A90D9"/>
        <w:sz w:val="18"/>
        <w:szCs w:val="18"/>
      </w:rPr>
      <w:t>BrightPath Academy</w:t>
    </w:r>
    <w:r>
      <w:rPr>
        <w:rFonts w:ascii="Arial" w:hAnsi="Arial" w:eastAsia="Arial" w:cs="Arial"/>
        <w:color w:val="888888"/>
        <w:sz w:val="18"/>
        <w:szCs w:val="18"/>
      </w:rPr>
      <w:tab/>
      <w:t>Course Catalogue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DAF7D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2E"/>
      <w:sz w:val="22"/>
      <w:szCs w:val="22"/>
    </w:rPr>
  </w:style>
  <w:style w:type="paragraph" w:styleId="2">
    <w:name w:val="heading 1"/>
    <w:next w:val="1"/>
    <w:qFormat/>
    <w:uiPriority w:val="0"/>
    <w:pPr>
      <w:spacing w:before="300" w:after="160"/>
      <w:outlineLvl w:val="0"/>
    </w:pPr>
    <w:rPr>
      <w:rFonts w:ascii="Arial" w:hAnsi="Arial" w:eastAsia="Arial" w:cs="Arial"/>
      <w:b/>
      <w:bCs/>
      <w:color w:val="4A90D9"/>
      <w:sz w:val="36"/>
      <w:szCs w:val="36"/>
    </w:rPr>
  </w:style>
  <w:style w:type="paragraph" w:styleId="3">
    <w:name w:val="heading 2"/>
    <w:next w:val="1"/>
    <w:qFormat/>
    <w:uiPriority w:val="0"/>
    <w:pPr>
      <w:spacing w:before="260" w:after="120"/>
      <w:outlineLvl w:val="1"/>
    </w:pPr>
    <w:rPr>
      <w:rFonts w:ascii="Arial" w:hAnsi="Arial" w:eastAsia="Arial" w:cs="Arial"/>
      <w:b/>
      <w:bCs/>
      <w:color w:val="1A1A2E"/>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2E"/>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1039</Words>
  <Characters>6540</Characters>
  <TotalTime>2</TotalTime>
  <ScaleCrop>false</ScaleCrop>
  <LinksUpToDate>false</LinksUpToDate>
  <CharactersWithSpaces>7460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2026-03-23T18:05:00Z</dcterms:created>
  <dc:creator>Un-named</dc:creator>
  <cp:lastModifiedBy>Namshima</cp:lastModifiedBy>
  <dcterms:modified xsi:type="dcterms:W3CDTF">2026-03-23T22:04:14Z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7BAA7FF882024D00A79506A7E1F99767_12</vt:lpwstr>
  </property>
</Properties>
</file>