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AF3FC" w:val="clear"/>
            <w:tcMar>
              <w:top w:type="dxa" w:w="200"/>
              <w:left w:type="dxa" w:w="240"/>
              <w:bottom w:type="dxa" w:w="200"/>
              <w:right w:type="dxa" w:w="240"/>
            </w:tcMar>
          </w:tcPr>
          <w:p>
            <w:pPr>
              <w:spacing w:after="80"/>
              <w:jc w:val="center"/>
            </w:pPr>
            <w:r>
              <w:rPr>
                <w:rFonts w:ascii="Arial" w:cs="Arial" w:eastAsia="Arial" w:hAnsi="Arial"/>
                <w:b/>
                <w:bCs/>
                <w:color w:val="4A90D9"/>
                <w:sz w:val="40"/>
                <w:szCs w:val="40"/>
              </w:rPr>
              <w:t xml:space="preserve">BRIGHTPATH ACADEMY</w:t>
            </w:r>
          </w:p>
          <w:p>
            <w:pPr>
              <w:spacing w:after="80"/>
              <w:jc w:val="center"/>
            </w:pPr>
            <w:r>
              <w:rPr>
                <w:rFonts w:ascii="Arial" w:cs="Arial" w:eastAsia="Arial" w:hAnsi="Arial"/>
                <w:b/>
                <w:bCs/>
                <w:color w:val="1A1A2E"/>
                <w:sz w:val="30"/>
                <w:szCs w:val="30"/>
              </w:rPr>
              <w:t xml:space="preserve">Student Policies Handbook</w:t>
            </w:r>
          </w:p>
          <w:p>
            <w:pPr>
              <w:spacing w:after="80"/>
              <w:jc w:val="center"/>
            </w:pPr>
            <w:r>
              <w:rPr>
                <w:rFonts w:ascii="Arial" w:cs="Arial" w:eastAsia="Arial" w:hAnsi="Arial"/>
                <w:color w:val="555555"/>
                <w:sz w:val="22"/>
                <w:szCs w:val="22"/>
              </w:rPr>
              <w:t xml:space="preserve">Refund Policy  |  Attendance  |  Academic Integrity  |  Grading</w:t>
            </w:r>
          </w:p>
          <w:p>
            <w:pPr>
              <w:spacing w:after="80"/>
              <w:jc w:val="center"/>
            </w:pPr>
            <w:r>
              <w:rPr>
                <w:rFonts w:ascii="Arial" w:cs="Arial" w:eastAsia="Arial" w:hAnsi="Arial"/>
                <w:i/>
                <w:iCs/>
                <w:color w:val="888888"/>
                <w:sz w:val="18"/>
                <w:szCs w:val="18"/>
              </w:rPr>
              <w:t xml:space="preserve">Effective: January 2026  |  Review Date: January 2027</w:t>
            </w:r>
          </w:p>
        </w:tc>
      </w:tr>
    </w:tbl>
    <w:p>
      <w:pPr>
        <w:spacing w:after="200"/>
      </w:pPr>
    </w:p>
    <w:p>
      <w:pPr>
        <w:spacing w:after="160"/>
      </w:pPr>
      <w:r>
        <w:rPr>
          <w:rFonts w:ascii="Arial" w:cs="Arial" w:eastAsia="Arial" w:hAnsi="Arial"/>
          <w:color w:val="444444"/>
          <w:sz w:val="22"/>
          <w:szCs w:val="22"/>
        </w:rPr>
        <w:t xml:space="preserve">This handbook sets out BrightPath Academy's official policies governing learner rights and responsibilities. All enrolled students are expected to have read and understood these policies. Policies are enforced fairly and consistently. If you have questions, contact the Student Affairs team at studentaffairs@brightpathacademy.io.</w:t>
      </w:r>
    </w:p>
    <w:p>
      <w:pPr>
        <w:spacing w:after="200"/>
      </w:pPr>
    </w:p>
    <w:p>
      <w:pPr>
        <w:pStyle w:val="Heading1"/>
        <w:spacing w:after="160" w:before="300"/>
      </w:pPr>
      <w:r>
        <w:rPr>
          <w:rFonts w:ascii="Arial" w:cs="Arial" w:eastAsia="Arial" w:hAnsi="Arial"/>
          <w:b/>
          <w:bCs/>
          <w:color w:val="4A90D9"/>
          <w:sz w:val="36"/>
          <w:szCs w:val="36"/>
        </w:rPr>
        <w:t xml:space="preserve">1. Refund Policy</w:t>
      </w:r>
    </w:p>
    <w:p>
      <w:pPr>
        <w:pBdr>
          <w:bottom w:val="single" w:color="4A90D9" w:sz="8" w:space="1"/>
        </w:pBdr>
        <w:spacing w:after="200"/>
      </w:pPr>
    </w:p>
    <w:p>
      <w:pPr>
        <w:pStyle w:val="Heading2"/>
        <w:spacing w:after="120" w:before="260"/>
      </w:pPr>
      <w:r>
        <w:rPr>
          <w:rFonts w:ascii="Arial" w:cs="Arial" w:eastAsia="Arial" w:hAnsi="Arial"/>
          <w:b/>
          <w:bCs/>
          <w:color w:val="1A1A2E"/>
          <w:sz w:val="28"/>
          <w:szCs w:val="28"/>
        </w:rPr>
        <w:t xml:space="preserve">1.1 Self-Paced Courses</w:t>
      </w:r>
    </w:p>
    <w:p>
      <w:pPr>
        <w:spacing w:after="160"/>
      </w:pPr>
      <w:r>
        <w:rPr>
          <w:rFonts w:ascii="Arial" w:cs="Arial" w:eastAsia="Arial" w:hAnsi="Arial"/>
          <w:sz w:val="22"/>
          <w:szCs w:val="22"/>
        </w:rPr>
        <w:t xml:space="preserve">Learners enrolled in self-paced courses are entitled to a full refund within 7 calendar days of their enrolment date, provided they have accessed no more than 15% of the course content. Refund requests must be submitted via the online refund request form at help.brightpathacademy.io/refunds.</w:t>
      </w:r>
    </w:p>
    <w:p>
      <w:pPr>
        <w:spacing w:after="160"/>
      </w:pPr>
      <w:r>
        <w:rPr>
          <w:rFonts w:ascii="Arial" w:cs="Arial" w:eastAsia="Arial" w:hAnsi="Arial"/>
          <w:sz w:val="22"/>
          <w:szCs w:val="22"/>
        </w:rPr>
        <w:t xml:space="preserve">If a learner has accessed more than 15% of course content within the 7-day window, no refund will be issued. BrightPath Academy does not offer partial refunds for self-paced courses.</w:t>
      </w:r>
    </w:p>
    <w:p>
      <w:pPr>
        <w:pStyle w:val="Heading2"/>
        <w:spacing w:after="120" w:before="260"/>
      </w:pPr>
      <w:r>
        <w:rPr>
          <w:rFonts w:ascii="Arial" w:cs="Arial" w:eastAsia="Arial" w:hAnsi="Arial"/>
          <w:b/>
          <w:bCs/>
          <w:color w:val="1A1A2E"/>
          <w:sz w:val="28"/>
          <w:szCs w:val="28"/>
        </w:rPr>
        <w:t xml:space="preserve">1.2 Cohort-Based Courses</w:t>
      </w:r>
    </w:p>
    <w:p>
      <w:pPr>
        <w:spacing w:after="160"/>
      </w:pPr>
      <w:r>
        <w:rPr>
          <w:rFonts w:ascii="Arial" w:cs="Arial" w:eastAsia="Arial" w:hAnsi="Arial"/>
          <w:sz w:val="22"/>
          <w:szCs w:val="22"/>
        </w:rPr>
        <w:t xml:space="preserve">The following refund schedule applies to cohort-based programmes from the date the cohort starts: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Timing of Request</w:t>
            </w:r>
          </w:p>
        </w:tc>
        <w:tc>
          <w:tcPr>
            <w:tcW w:type="dxa" w:w="400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Refund Amount</w:t>
            </w:r>
          </w:p>
        </w:tc>
        <w:tc>
          <w:tcPr>
            <w:tcW w:type="dxa" w:w="400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Conditions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Before cohort start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refund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conditions</w:t>
            </w:r>
          </w:p>
        </w:tc>
      </w:tr>
      <w:tr>
        <w:tc>
          <w:tcPr>
            <w:tcW w:type="dxa" w:w="4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Within 7 days of cohort start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80% refund</w:t>
            </w:r>
          </w:p>
        </w:tc>
        <w:tc>
          <w:tcPr>
            <w:tcW w:type="dxa" w:w="2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Fewer than 2 modules accessed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Days 8–14 of cohort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 refund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Fewer than 4 modules accessed</w:t>
            </w:r>
          </w:p>
        </w:tc>
      </w:tr>
      <w:tr>
        <w:tc>
          <w:tcPr>
            <w:tcW w:type="dxa" w:w="4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After day 14 of cohort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No refund</w:t>
            </w:r>
          </w:p>
        </w:tc>
        <w:tc>
          <w:tcPr>
            <w:tcW w:type="dxa" w:w="2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w:t>
            </w:r>
          </w:p>
        </w:tc>
      </w:tr>
    </w:tbl>
    <w:p>
      <w:pPr>
        <w:spacing w:after="200"/>
      </w:pPr>
    </w:p>
    <w:p>
      <w:pPr>
        <w:spacing w:after="160"/>
      </w:pPr>
      <w:r>
        <w:rPr>
          <w:rFonts w:ascii="Arial" w:cs="Arial" w:eastAsia="Arial" w:hAnsi="Arial"/>
          <w:sz w:val="22"/>
          <w:szCs w:val="22"/>
        </w:rPr>
        <w:t xml:space="preserve">Approved refunds are processed within 10 business days. Refunds are returned to the original payment method. Processing times may vary by payment provider.</w:t>
      </w:r>
    </w:p>
    <w:p>
      <w:pPr>
        <w:pStyle w:val="Heading2"/>
        <w:spacing w:after="120" w:before="260"/>
      </w:pPr>
      <w:r>
        <w:rPr>
          <w:rFonts w:ascii="Arial" w:cs="Arial" w:eastAsia="Arial" w:hAnsi="Arial"/>
          <w:b/>
          <w:bCs/>
          <w:color w:val="1A1A2E"/>
          <w:sz w:val="28"/>
          <w:szCs w:val="28"/>
        </w:rPr>
        <w:t xml:space="preserve">1.3 Non-Refundable Items</w:t>
      </w:r>
    </w:p>
    <w:p>
      <w:pPr>
        <w:spacing w:after="160"/>
      </w:pPr>
      <w:r>
        <w:rPr>
          <w:rFonts w:ascii="Arial" w:cs="Arial" w:eastAsia="Arial" w:hAnsi="Arial"/>
          <w:sz w:val="22"/>
          <w:szCs w:val="22"/>
        </w:rPr>
        <w:t xml:space="preserve">The following are not eligible for refund:</w:t>
      </w:r>
    </w:p>
    <w:p>
      <w:pPr>
        <w:pStyle w:val="ListParagraph"/>
        <w:numPr>
          <w:ilvl w:val="0"/>
          <w:numId w:val="2"/>
        </w:numPr>
        <w:spacing w:after="100"/>
      </w:pPr>
      <w:r>
        <w:rPr>
          <w:rFonts w:ascii="Arial" w:cs="Arial" w:eastAsia="Arial" w:hAnsi="Arial"/>
          <w:sz w:val="22"/>
          <w:szCs w:val="22"/>
        </w:rPr>
        <w:t xml:space="preserve">Certificate re-issuance fees</w:t>
      </w:r>
    </w:p>
    <w:p>
      <w:pPr>
        <w:pStyle w:val="ListParagraph"/>
        <w:numPr>
          <w:ilvl w:val="0"/>
          <w:numId w:val="2"/>
        </w:numPr>
        <w:spacing w:after="100"/>
      </w:pPr>
      <w:r>
        <w:rPr>
          <w:rFonts w:ascii="Arial" w:cs="Arial" w:eastAsia="Arial" w:hAnsi="Arial"/>
          <w:sz w:val="22"/>
          <w:szCs w:val="22"/>
        </w:rPr>
        <w:t xml:space="preserve">Cohort Transfer fees</w:t>
      </w:r>
    </w:p>
    <w:p>
      <w:pPr>
        <w:pStyle w:val="ListParagraph"/>
        <w:numPr>
          <w:ilvl w:val="0"/>
          <w:numId w:val="2"/>
        </w:numPr>
        <w:spacing w:after="100"/>
      </w:pPr>
      <w:r>
        <w:rPr>
          <w:rFonts w:ascii="Arial" w:cs="Arial" w:eastAsia="Arial" w:hAnsi="Arial"/>
          <w:sz w:val="22"/>
          <w:szCs w:val="22"/>
        </w:rPr>
        <w:t xml:space="preserve">Supplementary workshop add-ons (marked as non-refundable at purchase)</w:t>
      </w:r>
    </w:p>
    <w:p>
      <w:pPr>
        <w:pStyle w:val="ListParagraph"/>
        <w:numPr>
          <w:ilvl w:val="0"/>
          <w:numId w:val="2"/>
        </w:numPr>
        <w:spacing w:after="100"/>
      </w:pPr>
      <w:r>
        <w:rPr>
          <w:rFonts w:ascii="Arial" w:cs="Arial" w:eastAsia="Arial" w:hAnsi="Arial"/>
          <w:sz w:val="22"/>
          <w:szCs w:val="22"/>
        </w:rPr>
        <w:t xml:space="preserve">Access extension purchases</w:t>
      </w:r>
    </w:p>
    <w:p>
      <w:pPr>
        <w:pStyle w:val="Heading2"/>
        <w:spacing w:after="120" w:before="260"/>
      </w:pPr>
      <w:r>
        <w:rPr>
          <w:rFonts w:ascii="Arial" w:cs="Arial" w:eastAsia="Arial" w:hAnsi="Arial"/>
          <w:b/>
          <w:bCs/>
          <w:color w:val="1A1A2E"/>
          <w:sz w:val="28"/>
          <w:szCs w:val="28"/>
        </w:rPr>
        <w:t xml:space="preserve">1.4 Exceptional Circumstances</w:t>
      </w:r>
    </w:p>
    <w:p>
      <w:pPr>
        <w:spacing w:after="160"/>
      </w:pPr>
      <w:r>
        <w:rPr>
          <w:rFonts w:ascii="Arial" w:cs="Arial" w:eastAsia="Arial" w:hAnsi="Arial"/>
          <w:sz w:val="22"/>
          <w:szCs w:val="22"/>
        </w:rPr>
        <w:t xml:space="preserve">Learners experiencing bereavement, serious illness, or other significant life events may apply for a compassionate refund or cohort transfer outside the standard schedule. Requests must be submitted with supporting documentation within 30 days of the event. The Student Affairs team will review all requests within 5 business days.</w:t>
      </w:r>
    </w:p>
    <w:p>
      <w:r>
        <w:br w:type="page"/>
      </w:r>
    </w:p>
    <w:p>
      <w:pPr>
        <w:pStyle w:val="Heading1"/>
        <w:spacing w:after="160" w:before="300"/>
      </w:pPr>
      <w:r>
        <w:rPr>
          <w:rFonts w:ascii="Arial" w:cs="Arial" w:eastAsia="Arial" w:hAnsi="Arial"/>
          <w:b/>
          <w:bCs/>
          <w:color w:val="4A90D9"/>
          <w:sz w:val="36"/>
          <w:szCs w:val="36"/>
        </w:rPr>
        <w:t xml:space="preserve">2. Attendance Policy</w:t>
      </w:r>
    </w:p>
    <w:p>
      <w:pPr>
        <w:pBdr>
          <w:bottom w:val="single" w:color="4A90D9" w:sz="8" w:space="1"/>
        </w:pBdr>
        <w:spacing w:after="200"/>
      </w:pPr>
    </w:p>
    <w:p>
      <w:pPr>
        <w:pStyle w:val="Heading2"/>
        <w:spacing w:after="120" w:before="260"/>
      </w:pPr>
      <w:r>
        <w:rPr>
          <w:rFonts w:ascii="Arial" w:cs="Arial" w:eastAsia="Arial" w:hAnsi="Arial"/>
          <w:b/>
          <w:bCs/>
          <w:color w:val="1A1A2E"/>
          <w:sz w:val="28"/>
          <w:szCs w:val="28"/>
        </w:rPr>
        <w:t xml:space="preserve">2.1 Self-Paced Courses</w:t>
      </w:r>
    </w:p>
    <w:p>
      <w:pPr>
        <w:spacing w:after="160"/>
      </w:pPr>
      <w:r>
        <w:rPr>
          <w:rFonts w:ascii="Arial" w:cs="Arial" w:eastAsia="Arial" w:hAnsi="Arial"/>
          <w:sz w:val="22"/>
          <w:szCs w:val="22"/>
        </w:rPr>
        <w:t xml:space="preserve">There are no attendance requirements for self-paced courses. Learners may access materials at any time within their enrolment window. BrightPath Academy recommends completing at least one module per week to maintain momentum and context.</w:t>
      </w:r>
    </w:p>
    <w:p>
      <w:pPr>
        <w:pStyle w:val="Heading2"/>
        <w:spacing w:after="120" w:before="260"/>
      </w:pPr>
      <w:r>
        <w:rPr>
          <w:rFonts w:ascii="Arial" w:cs="Arial" w:eastAsia="Arial" w:hAnsi="Arial"/>
          <w:b/>
          <w:bCs/>
          <w:color w:val="1A1A2E"/>
          <w:sz w:val="28"/>
          <w:szCs w:val="28"/>
        </w:rPr>
        <w:t xml:space="preserve">2.2 Cohort-Based Courses — Live Sessions</w:t>
      </w:r>
    </w:p>
    <w:p>
      <w:pPr>
        <w:spacing w:after="160"/>
      </w:pPr>
      <w:r>
        <w:rPr>
          <w:rFonts w:ascii="Arial" w:cs="Arial" w:eastAsia="Arial" w:hAnsi="Arial"/>
          <w:sz w:val="22"/>
          <w:szCs w:val="22"/>
        </w:rPr>
        <w:t xml:space="preserve">Live sessions are a core component of the cohort experience. The following standards apply:</w:t>
      </w:r>
    </w:p>
    <w:p>
      <w:pPr>
        <w:pStyle w:val="ListParagraph"/>
        <w:numPr>
          <w:ilvl w:val="0"/>
          <w:numId w:val="2"/>
        </w:numPr>
        <w:spacing w:after="100"/>
      </w:pPr>
      <w:r>
        <w:rPr>
          <w:rFonts w:ascii="Arial" w:cs="Arial" w:eastAsia="Arial" w:hAnsi="Arial"/>
          <w:sz w:val="22"/>
          <w:szCs w:val="22"/>
        </w:rPr>
        <w:t xml:space="preserve">Learners are expected to attend at least 75% of scheduled live sessions per course.</w:t>
      </w:r>
    </w:p>
    <w:p>
      <w:pPr>
        <w:pStyle w:val="ListParagraph"/>
        <w:numPr>
          <w:ilvl w:val="0"/>
          <w:numId w:val="2"/>
        </w:numPr>
        <w:spacing w:after="100"/>
      </w:pPr>
      <w:r>
        <w:rPr>
          <w:rFonts w:ascii="Arial" w:cs="Arial" w:eastAsia="Arial" w:hAnsi="Arial"/>
          <w:sz w:val="22"/>
          <w:szCs w:val="22"/>
        </w:rPr>
        <w:t xml:space="preserve">Attendance below 75% may result in ineligibility for the completion certificate.</w:t>
      </w:r>
    </w:p>
    <w:p>
      <w:pPr>
        <w:pStyle w:val="ListParagraph"/>
        <w:numPr>
          <w:ilvl w:val="0"/>
          <w:numId w:val="2"/>
        </w:numPr>
        <w:spacing w:after="100"/>
      </w:pPr>
      <w:r>
        <w:rPr>
          <w:rFonts w:ascii="Arial" w:cs="Arial" w:eastAsia="Arial" w:hAnsi="Arial"/>
          <w:sz w:val="22"/>
          <w:szCs w:val="22"/>
        </w:rPr>
        <w:t xml:space="preserve">Learners who miss a session must notify their cohort coordinator within 24 hours via the platform messaging system.</w:t>
      </w:r>
    </w:p>
    <w:p>
      <w:pPr>
        <w:pStyle w:val="ListParagraph"/>
        <w:numPr>
          <w:ilvl w:val="0"/>
          <w:numId w:val="2"/>
        </w:numPr>
        <w:spacing w:after="100"/>
      </w:pPr>
      <w:r>
        <w:rPr>
          <w:rFonts w:ascii="Arial" w:cs="Arial" w:eastAsia="Arial" w:hAnsi="Arial"/>
          <w:sz w:val="22"/>
          <w:szCs w:val="22"/>
        </w:rPr>
        <w:t xml:space="preserve">All sessions are recorded. Accessing a recording counts as an 'asynchronous attendance' for up to 2 sessions per cohort, provided the learner submits a session reflection note within 72 hours.</w:t>
      </w:r>
    </w:p>
    <w:p>
      <w:pPr>
        <w:pStyle w:val="Heading2"/>
        <w:spacing w:after="120" w:before="260"/>
      </w:pPr>
      <w:r>
        <w:rPr>
          <w:rFonts w:ascii="Arial" w:cs="Arial" w:eastAsia="Arial" w:hAnsi="Arial"/>
          <w:b/>
          <w:bCs/>
          <w:color w:val="1A1A2E"/>
          <w:sz w:val="28"/>
          <w:szCs w:val="28"/>
        </w:rPr>
        <w:t xml:space="preserve">2.3 Group Projects &amp; Peer Collaboration</w:t>
      </w:r>
    </w:p>
    <w:p>
      <w:pPr>
        <w:spacing w:after="160"/>
      </w:pPr>
      <w:r>
        <w:rPr>
          <w:rFonts w:ascii="Arial" w:cs="Arial" w:eastAsia="Arial" w:hAnsi="Arial"/>
          <w:sz w:val="22"/>
          <w:szCs w:val="22"/>
        </w:rPr>
        <w:t xml:space="preserve">Learners enrolled in cohort courses with group project components are expected to:</w:t>
      </w:r>
    </w:p>
    <w:p>
      <w:pPr>
        <w:pStyle w:val="ListParagraph"/>
        <w:numPr>
          <w:ilvl w:val="0"/>
          <w:numId w:val="3"/>
        </w:numPr>
        <w:spacing w:after="100"/>
      </w:pPr>
      <w:r>
        <w:rPr>
          <w:rFonts w:ascii="Arial" w:cs="Arial" w:eastAsia="Arial" w:hAnsi="Arial"/>
          <w:sz w:val="22"/>
          <w:szCs w:val="22"/>
        </w:rPr>
        <w:t xml:space="preserve">Participate actively in their assigned project team throughout the project period.</w:t>
      </w:r>
    </w:p>
    <w:p>
      <w:pPr>
        <w:pStyle w:val="ListParagraph"/>
        <w:numPr>
          <w:ilvl w:val="0"/>
          <w:numId w:val="3"/>
        </w:numPr>
        <w:spacing w:after="100"/>
      </w:pPr>
      <w:r>
        <w:rPr>
          <w:rFonts w:ascii="Arial" w:cs="Arial" w:eastAsia="Arial" w:hAnsi="Arial"/>
          <w:sz w:val="22"/>
          <w:szCs w:val="22"/>
        </w:rPr>
        <w:t xml:space="preserve">Communicate promptly with team members if they are unable to contribute for any period.</w:t>
      </w:r>
    </w:p>
    <w:p>
      <w:pPr>
        <w:pStyle w:val="ListParagraph"/>
        <w:numPr>
          <w:ilvl w:val="0"/>
          <w:numId w:val="3"/>
        </w:numPr>
        <w:spacing w:after="100"/>
      </w:pPr>
      <w:r>
        <w:rPr>
          <w:rFonts w:ascii="Arial" w:cs="Arial" w:eastAsia="Arial" w:hAnsi="Arial"/>
          <w:sz w:val="22"/>
          <w:szCs w:val="22"/>
        </w:rPr>
        <w:t xml:space="preserve">Submit their individual contribution log alongside the group deliverable.</w:t>
      </w:r>
    </w:p>
    <w:p>
      <w:pPr>
        <w:spacing w:after="160"/>
      </w:pPr>
      <w:r>
        <w:rPr>
          <w:rFonts w:ascii="Arial" w:cs="Arial" w:eastAsia="Arial" w:hAnsi="Arial"/>
          <w:sz w:val="22"/>
          <w:szCs w:val="22"/>
        </w:rPr>
        <w:t xml:space="preserve">Persistent non-participation in group projects, as reported by peers and verified by the instructor, may result in the learner being assessed individually and receiving a reduced grade cap of 65%.</w:t>
      </w:r>
    </w:p>
    <w:p>
      <w:r>
        <w:br w:type="page"/>
      </w:r>
    </w:p>
    <w:p>
      <w:pPr>
        <w:pStyle w:val="Heading1"/>
        <w:spacing w:after="160" w:before="300"/>
      </w:pPr>
      <w:r>
        <w:rPr>
          <w:rFonts w:ascii="Arial" w:cs="Arial" w:eastAsia="Arial" w:hAnsi="Arial"/>
          <w:b/>
          <w:bCs/>
          <w:color w:val="4A90D9"/>
          <w:sz w:val="36"/>
          <w:szCs w:val="36"/>
        </w:rPr>
        <w:t xml:space="preserve">3. Academic Integrity Policy</w:t>
      </w:r>
    </w:p>
    <w:p>
      <w:pPr>
        <w:pBdr>
          <w:bottom w:val="single" w:color="4A90D9" w:sz="8" w:space="1"/>
        </w:pBdr>
        <w:spacing w:after="200"/>
      </w:pPr>
    </w:p>
    <w:p>
      <w:pPr>
        <w:spacing w:after="160"/>
      </w:pPr>
      <w:r>
        <w:rPr>
          <w:rFonts w:ascii="Arial" w:cs="Arial" w:eastAsia="Arial" w:hAnsi="Arial"/>
          <w:sz w:val="22"/>
          <w:szCs w:val="22"/>
        </w:rPr>
        <w:t xml:space="preserve">BrightPath Academy is committed to a culture of honesty and ethical scholarship. The following standards apply to all assessments, projects, and participation.</w:t>
      </w:r>
    </w:p>
    <w:p>
      <w:pPr>
        <w:pStyle w:val="Heading2"/>
        <w:spacing w:after="120" w:before="260"/>
      </w:pPr>
      <w:r>
        <w:rPr>
          <w:rFonts w:ascii="Arial" w:cs="Arial" w:eastAsia="Arial" w:hAnsi="Arial"/>
          <w:b/>
          <w:bCs/>
          <w:color w:val="1A1A2E"/>
          <w:sz w:val="28"/>
          <w:szCs w:val="28"/>
        </w:rPr>
        <w:t xml:space="preserve">3.1 Prohibited Conduct</w:t>
      </w:r>
    </w:p>
    <w:p>
      <w:pPr>
        <w:spacing w:after="160"/>
      </w:pPr>
      <w:r>
        <w:rPr>
          <w:rFonts w:ascii="Arial" w:cs="Arial" w:eastAsia="Arial" w:hAnsi="Arial"/>
          <w:sz w:val="22"/>
          <w:szCs w:val="22"/>
        </w:rPr>
        <w:t xml:space="preserve">The following constitute academic integrity violations:</w:t>
      </w:r>
    </w:p>
    <w:p>
      <w:pPr>
        <w:pStyle w:val="ListParagraph"/>
        <w:numPr>
          <w:ilvl w:val="0"/>
          <w:numId w:val="2"/>
        </w:numPr>
        <w:spacing w:after="100"/>
      </w:pPr>
      <w:r>
        <w:rPr>
          <w:rFonts w:ascii="Arial" w:cs="Arial" w:eastAsia="Arial" w:hAnsi="Arial"/>
          <w:sz w:val="22"/>
          <w:szCs w:val="22"/>
        </w:rPr>
        <w:t xml:space="preserve">Submitting work that is not your own as an original submission (plagiarism)</w:t>
      </w:r>
    </w:p>
    <w:p>
      <w:pPr>
        <w:pStyle w:val="ListParagraph"/>
        <w:numPr>
          <w:ilvl w:val="0"/>
          <w:numId w:val="2"/>
        </w:numPr>
        <w:spacing w:after="100"/>
      </w:pPr>
      <w:r>
        <w:rPr>
          <w:rFonts w:ascii="Arial" w:cs="Arial" w:eastAsia="Arial" w:hAnsi="Arial"/>
          <w:sz w:val="22"/>
          <w:szCs w:val="22"/>
        </w:rPr>
        <w:t xml:space="preserve">Using AI-generated content as a direct submission without instructor approval and disclosure</w:t>
      </w:r>
    </w:p>
    <w:p>
      <w:pPr>
        <w:pStyle w:val="ListParagraph"/>
        <w:numPr>
          <w:ilvl w:val="0"/>
          <w:numId w:val="2"/>
        </w:numPr>
        <w:spacing w:after="100"/>
      </w:pPr>
      <w:r>
        <w:rPr>
          <w:rFonts w:ascii="Arial" w:cs="Arial" w:eastAsia="Arial" w:hAnsi="Arial"/>
          <w:sz w:val="22"/>
          <w:szCs w:val="22"/>
        </w:rPr>
        <w:t xml:space="preserve">Sharing quiz or exam questions or answers with other learners</w:t>
      </w:r>
    </w:p>
    <w:p>
      <w:pPr>
        <w:pStyle w:val="ListParagraph"/>
        <w:numPr>
          <w:ilvl w:val="0"/>
          <w:numId w:val="2"/>
        </w:numPr>
        <w:spacing w:after="100"/>
      </w:pPr>
      <w:r>
        <w:rPr>
          <w:rFonts w:ascii="Arial" w:cs="Arial" w:eastAsia="Arial" w:hAnsi="Arial"/>
          <w:sz w:val="22"/>
          <w:szCs w:val="22"/>
        </w:rPr>
        <w:t xml:space="preserve">Impersonating another learner or permitting another person to complete your assessments</w:t>
      </w:r>
    </w:p>
    <w:p>
      <w:pPr>
        <w:pStyle w:val="ListParagraph"/>
        <w:numPr>
          <w:ilvl w:val="0"/>
          <w:numId w:val="2"/>
        </w:numPr>
        <w:spacing w:after="100"/>
      </w:pPr>
      <w:r>
        <w:rPr>
          <w:rFonts w:ascii="Arial" w:cs="Arial" w:eastAsia="Arial" w:hAnsi="Arial"/>
          <w:sz w:val="22"/>
          <w:szCs w:val="22"/>
        </w:rPr>
        <w:t xml:space="preserve">Fabricating data, references, or sources in written work</w:t>
      </w:r>
    </w:p>
    <w:p>
      <w:pPr>
        <w:pStyle w:val="ListParagraph"/>
        <w:numPr>
          <w:ilvl w:val="0"/>
          <w:numId w:val="2"/>
        </w:numPr>
        <w:spacing w:after="100"/>
      </w:pPr>
      <w:r>
        <w:rPr>
          <w:rFonts w:ascii="Arial" w:cs="Arial" w:eastAsia="Arial" w:hAnsi="Arial"/>
          <w:sz w:val="22"/>
          <w:szCs w:val="22"/>
        </w:rPr>
        <w:t xml:space="preserve">Collaborating on individual assessments beyond the scope permitted by the instructor</w:t>
      </w:r>
    </w:p>
    <w:p>
      <w:pPr>
        <w:pStyle w:val="Heading2"/>
        <w:spacing w:after="120" w:before="260"/>
      </w:pPr>
      <w:r>
        <w:rPr>
          <w:rFonts w:ascii="Arial" w:cs="Arial" w:eastAsia="Arial" w:hAnsi="Arial"/>
          <w:b/>
          <w:bCs/>
          <w:color w:val="1A1A2E"/>
          <w:sz w:val="28"/>
          <w:szCs w:val="28"/>
        </w:rPr>
        <w:t xml:space="preserve">3.2 Use of AI Tools</w:t>
      </w:r>
    </w:p>
    <w:p>
      <w:pPr>
        <w:spacing w:after="160"/>
      </w:pPr>
      <w:r>
        <w:rPr>
          <w:rFonts w:ascii="Arial" w:cs="Arial" w:eastAsia="Arial" w:hAnsi="Arial"/>
          <w:sz w:val="22"/>
          <w:szCs w:val="22"/>
        </w:rPr>
        <w:t xml:space="preserve">BrightPath Academy recognises that AI tools are part of the modern learning and professional environment. Our policy on AI use:</w:t>
      </w:r>
    </w:p>
    <w:p>
      <w:pPr>
        <w:pStyle w:val="ListParagraph"/>
        <w:numPr>
          <w:ilvl w:val="0"/>
          <w:numId w:val="2"/>
        </w:numPr>
        <w:spacing w:after="100"/>
      </w:pPr>
      <w:r>
        <w:rPr>
          <w:rFonts w:ascii="Arial" w:cs="Arial" w:eastAsia="Arial" w:hAnsi="Arial"/>
          <w:sz w:val="22"/>
          <w:szCs w:val="22"/>
        </w:rPr>
        <w:t xml:space="preserve">AI tools (e.g., ChatGPT, Claude, Gemini) may be used for research, brainstorming, and drafting, provided the final submission represents your own analysis and synthesis.</w:t>
      </w:r>
    </w:p>
    <w:p>
      <w:pPr>
        <w:pStyle w:val="ListParagraph"/>
        <w:numPr>
          <w:ilvl w:val="0"/>
          <w:numId w:val="2"/>
        </w:numPr>
        <w:spacing w:after="100"/>
      </w:pPr>
      <w:r>
        <w:rPr>
          <w:rFonts w:ascii="Arial" w:cs="Arial" w:eastAsia="Arial" w:hAnsi="Arial"/>
          <w:sz w:val="22"/>
          <w:szCs w:val="22"/>
        </w:rPr>
        <w:t xml:space="preserve">Learners must disclose all AI tool use in an appended 'AI Usage Statement' on written assessments.</w:t>
      </w:r>
    </w:p>
    <w:p>
      <w:pPr>
        <w:pStyle w:val="ListParagraph"/>
        <w:numPr>
          <w:ilvl w:val="0"/>
          <w:numId w:val="2"/>
        </w:numPr>
        <w:spacing w:after="100"/>
      </w:pPr>
      <w:r>
        <w:rPr>
          <w:rFonts w:ascii="Arial" w:cs="Arial" w:eastAsia="Arial" w:hAnsi="Arial"/>
          <w:sz w:val="22"/>
          <w:szCs w:val="22"/>
        </w:rPr>
        <w:t xml:space="preserve">Submitting AI-generated text as an original answer on knowledge assessments or quizzes is prohibited.</w:t>
      </w:r>
    </w:p>
    <w:p>
      <w:pPr>
        <w:pStyle w:val="ListParagraph"/>
        <w:numPr>
          <w:ilvl w:val="0"/>
          <w:numId w:val="2"/>
        </w:numPr>
        <w:spacing w:after="100"/>
      </w:pPr>
      <w:r>
        <w:rPr>
          <w:rFonts w:ascii="Arial" w:cs="Arial" w:eastAsia="Arial" w:hAnsi="Arial"/>
          <w:sz w:val="22"/>
          <w:szCs w:val="22"/>
        </w:rPr>
        <w:t xml:space="preserve">Instructors may use AI detection tools as part of their review process.</w:t>
      </w:r>
    </w:p>
    <w:p>
      <w:pPr>
        <w:pStyle w:val="Heading2"/>
        <w:spacing w:after="120" w:before="260"/>
      </w:pPr>
      <w:r>
        <w:rPr>
          <w:rFonts w:ascii="Arial" w:cs="Arial" w:eastAsia="Arial" w:hAnsi="Arial"/>
          <w:b/>
          <w:bCs/>
          <w:color w:val="1A1A2E"/>
          <w:sz w:val="28"/>
          <w:szCs w:val="28"/>
        </w:rPr>
        <w:t xml:space="preserve">3.3 Consequences</w:t>
      </w:r>
    </w:p>
    <w:p>
      <w:pPr>
        <w:spacing w:after="160"/>
      </w:pPr>
      <w:r>
        <w:rPr>
          <w:rFonts w:ascii="Arial" w:cs="Arial" w:eastAsia="Arial" w:hAnsi="Arial"/>
          <w:sz w:val="22"/>
          <w:szCs w:val="22"/>
        </w:rPr>
        <w:t xml:space="preserve">Violations of academic integrity are handled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Violation Level</w:t>
            </w:r>
          </w:p>
        </w:tc>
        <w:tc>
          <w:tcPr>
            <w:tcW w:type="dxa" w:w="636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Consequence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offence (minor)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Written warning; zero on the specific assessment; opportunity to resubmit once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Second offence or major first offence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Zero for the entire course; no certificate issued; formal record on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Severe violation (impersonation, selling 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expulsion from all BrightPath programmes; no refund; referral to relevant authorities</w:t>
            </w:r>
          </w:p>
        </w:tc>
      </w:tr>
    </w:tbl>
    <w:p>
      <w:pPr>
        <w:spacing w:after="200"/>
      </w:pPr>
    </w:p>
    <w:p>
      <w:r>
        <w:br w:type="page"/>
      </w:r>
    </w:p>
    <w:p>
      <w:pPr>
        <w:pStyle w:val="Heading1"/>
        <w:spacing w:after="160" w:before="300"/>
      </w:pPr>
      <w:r>
        <w:rPr>
          <w:rFonts w:ascii="Arial" w:cs="Arial" w:eastAsia="Arial" w:hAnsi="Arial"/>
          <w:b/>
          <w:bCs/>
          <w:color w:val="4A90D9"/>
          <w:sz w:val="36"/>
          <w:szCs w:val="36"/>
        </w:rPr>
        <w:t xml:space="preserve">4. Grading Policy</w:t>
      </w:r>
    </w:p>
    <w:p>
      <w:pPr>
        <w:pBdr>
          <w:bottom w:val="single" w:color="4A90D9" w:sz="8" w:space="1"/>
        </w:pBdr>
        <w:spacing w:after="200"/>
      </w:pPr>
    </w:p>
    <w:p>
      <w:pPr>
        <w:pStyle w:val="Heading2"/>
        <w:spacing w:after="120" w:before="260"/>
      </w:pPr>
      <w:r>
        <w:rPr>
          <w:rFonts w:ascii="Arial" w:cs="Arial" w:eastAsia="Arial" w:hAnsi="Arial"/>
          <w:b/>
          <w:bCs/>
          <w:color w:val="1A1A2E"/>
          <w:sz w:val="28"/>
          <w:szCs w:val="28"/>
        </w:rPr>
        <w:t xml:space="preserve">4.1 Assessment Components</w:t>
      </w:r>
    </w:p>
    <w:p>
      <w:pPr>
        <w:spacing w:after="160"/>
      </w:pPr>
      <w:r>
        <w:rPr>
          <w:rFonts w:ascii="Arial" w:cs="Arial" w:eastAsia="Arial" w:hAnsi="Arial"/>
          <w:sz w:val="22"/>
          <w:szCs w:val="22"/>
        </w:rPr>
        <w:t xml:space="preserve">Assessment varies by course type. The typical weighting for cohort-based courses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34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2340"/>
            <w:tcBorders>
              <w:top w:val="single" w:color="4A90D9" w:sz="1"/>
              <w:left w:val="single" w:color="4A90D9" w:sz="1"/>
              <w:bottom w:val="single" w:color="4A90D9" w:sz="1"/>
              <w:right w:val="single" w:color="4A90D9" w:sz="1"/>
            </w:tcBorders>
            <w:shd w:fill="4A90D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Module quizzes (weekly)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Best 80% of quizzes count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Practical assignments</w:t>
            </w:r>
          </w:p>
        </w:tc>
        <w:tc>
          <w:tcPr>
            <w:tcW w:type="dxa" w:w="234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Submitted via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Group project / case study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Peer and instructor graded</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Final capstone / examination</w:t>
            </w:r>
          </w:p>
        </w:tc>
        <w:tc>
          <w:tcPr>
            <w:tcW w:type="dxa" w:w="234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sz w:val="20"/>
                <w:szCs w:val="20"/>
              </w:rPr>
              <w:t xml:space="preserve">Individual; open-book where stated</w:t>
            </w:r>
          </w:p>
        </w:tc>
      </w:tr>
    </w:tbl>
    <w:p>
      <w:pPr>
        <w:spacing w:after="200"/>
      </w:pPr>
    </w:p>
    <w:p>
      <w:pPr>
        <w:pStyle w:val="Heading2"/>
        <w:spacing w:after="120" w:before="260"/>
      </w:pPr>
      <w:r>
        <w:rPr>
          <w:rFonts w:ascii="Arial" w:cs="Arial" w:eastAsia="Arial" w:hAnsi="Arial"/>
          <w:b/>
          <w:bCs/>
          <w:color w:val="1A1A2E"/>
          <w:sz w:val="28"/>
          <w:szCs w:val="28"/>
        </w:rPr>
        <w:t xml:space="preserve">4.2 Grading Scale</w:t>
      </w:r>
    </w:p>
    <w:p>
      <w:pPr>
        <w:spacing w:after="160"/>
      </w:pPr>
      <w:r>
        <w:rPr>
          <w:rFonts w:ascii="Arial" w:cs="Arial" w:eastAsia="Arial" w:hAnsi="Arial"/>
          <w:sz w:val="22"/>
          <w:szCs w:val="22"/>
        </w:rPr>
        <w:t xml:space="preserve">BrightPath Academy uses a percentage-based grading scale with the following classifications:</w:t>
      </w:r>
    </w:p>
    <w:p>
      <w:pPr>
        <w:spacing w:after="8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c>
          <w:tcPr>
            <w:tcW w:type="dxa" w:w="200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00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200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Distinction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80–89%</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Merit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70–79%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60–69%</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Borderline — support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 — reassessment required</w:t>
            </w:r>
          </w:p>
        </w:tc>
      </w:tr>
    </w:tbl>
    <w:p>
      <w:pPr>
        <w:spacing w:after="200"/>
      </w:pPr>
    </w:p>
    <w:p>
      <w:pPr>
        <w:pStyle w:val="Heading2"/>
        <w:spacing w:after="120" w:before="260"/>
      </w:pPr>
      <w:r>
        <w:rPr>
          <w:rFonts w:ascii="Arial" w:cs="Arial" w:eastAsia="Arial" w:hAnsi="Arial"/>
          <w:b/>
          <w:bCs/>
          <w:color w:val="1A1A2E"/>
          <w:sz w:val="28"/>
          <w:szCs w:val="28"/>
        </w:rPr>
        <w:t xml:space="preserve">4.3 Late Submissions</w:t>
      </w:r>
    </w:p>
    <w:p>
      <w:pPr>
        <w:spacing w:after="160"/>
      </w:pPr>
      <w:r>
        <w:rPr>
          <w:rFonts w:ascii="Arial" w:cs="Arial" w:eastAsia="Arial" w:hAnsi="Arial"/>
          <w:sz w:val="22"/>
          <w:szCs w:val="22"/>
        </w:rPr>
        <w:t xml:space="preserve">Work submitted after the stated deadline will be penalised as follows: 1–24 hours late: 10% deduction. 25–72 hours late: 25% deduction. More than 72 hours late: submission not accepted without prior written approval from the course instructor.</w:t>
      </w:r>
    </w:p>
    <w:p>
      <w:pPr>
        <w:spacing w:after="160"/>
      </w:pPr>
      <w:r>
        <w:rPr>
          <w:rFonts w:ascii="Arial" w:cs="Arial" w:eastAsia="Arial" w:hAnsi="Arial"/>
          <w:sz w:val="22"/>
          <w:szCs w:val="22"/>
        </w:rPr>
        <w:t xml:space="preserve">Extension requests must be submitted via the platform at least 24 hours before the deadline. Extensions are granted at the instructor's discretion and are generally limited to 72 hours per assessment.</w:t>
      </w:r>
    </w:p>
    <w:p>
      <w:pPr>
        <w:pStyle w:val="Heading2"/>
        <w:spacing w:after="120" w:before="260"/>
      </w:pPr>
      <w:r>
        <w:rPr>
          <w:rFonts w:ascii="Arial" w:cs="Arial" w:eastAsia="Arial" w:hAnsi="Arial"/>
          <w:b/>
          <w:bCs/>
          <w:color w:val="1A1A2E"/>
          <w:sz w:val="28"/>
          <w:szCs w:val="28"/>
        </w:rPr>
        <w:t xml:space="preserve">4.4 Grade Appeals</w:t>
      </w:r>
    </w:p>
    <w:p>
      <w:pPr>
        <w:spacing w:after="160"/>
      </w:pPr>
      <w:r>
        <w:rPr>
          <w:rFonts w:ascii="Arial" w:cs="Arial" w:eastAsia="Arial" w:hAnsi="Arial"/>
          <w:sz w:val="22"/>
          <w:szCs w:val="22"/>
        </w:rPr>
        <w:t xml:space="preserve">Learners who wish to appeal a grade must:</w:t>
      </w:r>
    </w:p>
    <w:p>
      <w:pPr>
        <w:pStyle w:val="ListParagraph"/>
        <w:numPr>
          <w:ilvl w:val="0"/>
          <w:numId w:val="3"/>
        </w:numPr>
        <w:spacing w:after="100"/>
      </w:pPr>
      <w:r>
        <w:rPr>
          <w:rFonts w:ascii="Arial" w:cs="Arial" w:eastAsia="Arial" w:hAnsi="Arial"/>
          <w:sz w:val="22"/>
          <w:szCs w:val="22"/>
        </w:rPr>
        <w:t xml:space="preserve">Submit a written appeal via the Grade Appeal Form within 14 days of the grade being published.</w:t>
      </w:r>
    </w:p>
    <w:p>
      <w:pPr>
        <w:pStyle w:val="ListParagraph"/>
        <w:numPr>
          <w:ilvl w:val="0"/>
          <w:numId w:val="3"/>
        </w:numPr>
        <w:spacing w:after="100"/>
      </w:pPr>
      <w:r>
        <w:rPr>
          <w:rFonts w:ascii="Arial" w:cs="Arial" w:eastAsia="Arial" w:hAnsi="Arial"/>
          <w:sz w:val="22"/>
          <w:szCs w:val="22"/>
        </w:rPr>
        <w:t xml:space="preserve">Clearly state the grounds for appeal (e.g., marking error, extenuating circumstances, alleged inconsistency).</w:t>
      </w:r>
    </w:p>
    <w:p>
      <w:pPr>
        <w:pStyle w:val="ListParagraph"/>
        <w:numPr>
          <w:ilvl w:val="0"/>
          <w:numId w:val="3"/>
        </w:numPr>
        <w:spacing w:after="100"/>
      </w:pPr>
      <w:r>
        <w:rPr>
          <w:rFonts w:ascii="Arial" w:cs="Arial" w:eastAsia="Arial" w:hAnsi="Arial"/>
          <w:sz w:val="22"/>
          <w:szCs w:val="22"/>
        </w:rPr>
        <w:t xml:space="preserve">Include any supporting evidence.</w:t>
      </w:r>
    </w:p>
    <w:p>
      <w:pPr>
        <w:spacing w:after="160"/>
      </w:pPr>
      <w:r>
        <w:rPr>
          <w:rFonts w:ascii="Arial" w:cs="Arial" w:eastAsia="Arial" w:hAnsi="Arial"/>
          <w:sz w:val="22"/>
          <w:szCs w:val="22"/>
        </w:rPr>
        <w:t xml:space="preserve">Appeals are reviewed by a panel of at least two instructors who were not involved in the original marking. The decision of the appeal panel is final. BrightPath Academy aims to resolve all appeals within 15 business days.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8"/>
              <w:bottom w:val="single" w:color="F5A623" w:sz="4"/>
              <w:right w:val="single" w:color="F5A623" w:sz="1"/>
            </w:tcBorders>
            <w:shd w:fill="FFFBF0" w:val="clear"/>
            <w:tcMar>
              <w:top w:type="dxa" w:w="120"/>
              <w:left w:type="dxa" w:w="200"/>
              <w:bottom w:type="dxa" w:w="120"/>
              <w:right w:type="dxa" w:w="200"/>
            </w:tcMar>
          </w:tcPr>
          <w:p>
            <w:pPr>
              <w:spacing w:after="60"/>
            </w:pPr>
            <w:r>
              <w:rPr>
                <w:rFonts w:ascii="Arial" w:cs="Arial" w:eastAsia="Arial" w:hAnsi="Arial"/>
                <w:b/>
                <w:bCs/>
                <w:color w:val="8B5E00"/>
                <w:sz w:val="20"/>
                <w:szCs w:val="20"/>
              </w:rPr>
              <w:t xml:space="preserve">Policy Queries</w:t>
            </w:r>
          </w:p>
          <w:p>
            <w:pPr>
              <w:spacing w:after="60"/>
            </w:pPr>
            <w:r>
              <w:rPr>
                <w:rFonts w:ascii="Arial" w:cs="Arial" w:eastAsia="Arial" w:hAnsi="Arial"/>
                <w:sz w:val="20"/>
                <w:szCs w:val="20"/>
              </w:rPr>
              <w:t xml:space="preserve">Student Affairs: studentaffairs@brightpathacademy.io</w:t>
            </w:r>
          </w:p>
          <w:p>
            <w:pPr>
              <w:spacing w:after="60"/>
            </w:pPr>
            <w:r>
              <w:rPr>
                <w:rFonts w:ascii="Arial" w:cs="Arial" w:eastAsia="Arial" w:hAnsi="Arial"/>
                <w:sz w:val="20"/>
                <w:szCs w:val="20"/>
              </w:rPr>
              <w:t xml:space="preserve">Academic Integrity: integrity@brightpathacademy.io</w:t>
            </w:r>
          </w:p>
          <w:p>
            <w:pPr>
              <w:spacing w:after="60"/>
            </w:pPr>
            <w:r>
              <w:rPr>
                <w:rFonts w:ascii="Arial" w:cs="Arial" w:eastAsia="Arial" w:hAnsi="Arial"/>
                <w:sz w:val="20"/>
                <w:szCs w:val="20"/>
              </w:rPr>
              <w:t xml:space="preserve">Billing &amp; Refunds: billing@brightpathacademy.io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1"/>
      </w:pBdr>
      <w:tabs>
        <w:tab w:val="right" w:pos="9360"/>
      </w:tabs>
      <w:spacing w:before="80"/>
    </w:pPr>
    <w:r>
      <w:rPr>
        <w:rFonts w:ascii="Arial" w:cs="Arial" w:eastAsia="Arial" w:hAnsi="Arial"/>
        <w:color w:val="888888"/>
        <w:sz w:val="16"/>
        <w:szCs w:val="16"/>
      </w:rPr>
      <w:t xml:space="preserve">Confidential — Internal Knowledge Base Document</w:t>
    </w:r>
    <w:r>
      <w:rPr>
        <w:rFonts w:ascii="Arial" w:cs="Arial" w:eastAsia="Arial" w:hAnsi="Arial"/>
        <w:color w:val="888888"/>
        <w:sz w:val="16"/>
        <w:szCs w:val="16"/>
      </w:rPr>
      <w:t xml:space="preserve">	BrightPath Academy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1"/>
      </w:pBdr>
      <w:tabs>
        <w:tab w:val="right" w:pos="9360"/>
      </w:tabs>
      <w:spacing w:after="80"/>
    </w:pPr>
    <w:r>
      <w:rPr>
        <w:rFonts w:ascii="Arial" w:cs="Arial" w:eastAsia="Arial" w:hAnsi="Arial"/>
        <w:b/>
        <w:bCs/>
        <w:color w:val="4A90D9"/>
        <w:sz w:val="18"/>
        <w:szCs w:val="18"/>
      </w:rPr>
      <w:t xml:space="preserve">BrightPath Academy</w:t>
    </w:r>
    <w:r>
      <w:rPr>
        <w:rFonts w:ascii="Arial" w:cs="Arial" w:eastAsia="Arial" w:hAnsi="Arial"/>
        <w:color w:val="888888"/>
        <w:sz w:val="18"/>
        <w:szCs w:val="18"/>
      </w:rPr>
      <w:t xml:space="preserve">	Student Policies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4A90D9"/>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2026-03-23T18:05:36.787Z</dcterms:created>
  <dcterms:modified xsi:type="dcterms:W3CDTF">2026-03-23T18:05:36.787Z</dcterms:modified>
</cp:coreProperties>
</file>

<file path=docProps/custom.xml><?xml version="1.0" encoding="utf-8"?>
<Properties xmlns="http://schemas.openxmlformats.org/officeDocument/2006/custom-properties" xmlns:vt="http://schemas.openxmlformats.org/officeDocument/2006/docPropsVTypes"/>
</file>