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eg" ContentType="image/jpeg"/>
  <Default Extension="gif" ContentType="image/gif"/>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pStyle w:val="Normal"/>
        <w:jc w:val="left"/>
        <w:keepNext/>
        <w:pBdr>
          <w:bottom w:val="none" w:sz="0" w:space="0" w:color="000000"/>
          <w:top w:val="none" w:sz="0" w:space="0" w:color="000000"/>
          <w:left w:val="none" w:sz="0" w:space="0" w:color="000000"/>
          <w:right w:val="none" w:sz="0" w:space="0" w:color="000000"/>
        </w:pBdr>
        <w:spacing w:after="40" w:before="0" w:line="240"/>
        <w:ind w:left="0" w:right="0" w:firstLine="0" w:firstLineChars="0"/>
      </w:pPr>
      <w:r>
        <w:rPr>
          <w:rFonts w:ascii="Arial" w:hAnsi="Arial" w:eastAsia="Arial" w:cs="Arial"/>
          <w:i w:val="false"/>
          <w:b w:val="true"/>
          <w:u w:val="none"/>
          <w:strike w:val="false"/>
          <w:sz w:val="16"/>
          <w:szCs w:val="16"/>
          <w:color w:val="00AEEF"/>
        </w:rPr>
        <w:t xml:space="preserve">GLOBAL NUTRITION MONITORING BRIEF - UNICEF Office of Strategy and Evidence, Data &amp; Analytics Section</w:t>
      </w:r>
    </w:p>
    <w:p>
      <w:pPr>
        <w:pStyle w:val="Normal"/>
        <w:jc w:val="left"/>
        <w:keepNext/>
        <w:pBdr>
          <w:bottom w:val="single" w:sz="12" w:space="0" w:color="00AEEF"/>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true"/>
          <w:u w:val="none"/>
          <w:strike w:val="false"/>
          <w:sz w:val="36"/>
          <w:szCs w:val="36"/>
          <w:color w:val="1F4E79"/>
        </w:rPr>
        <w:t xml:space="preserve">Child Stunting: Where Levels Remain Highest and Where Progress Has Been Strongest</w:t>
      </w:r>
    </w:p>
    <w:p>
      <w:pPr>
        <w:pStyle w:val="Normal"/>
        <w:jc w:val="left"/>
        <w:pBdr>
          <w:bottom w:val="none" w:sz="0" w:space="0" w:color="000000"/>
          <w:top w:val="none" w:sz="0" w:space="0" w:color="000000"/>
          <w:left w:val="none" w:sz="0" w:space="0" w:color="000000"/>
          <w:right w:val="none" w:sz="0" w:space="0" w:color="000000"/>
        </w:pBdr>
        <w:spacing w:after="60" w:before="20" w:line="240"/>
        <w:ind w:left="0" w:right="0" w:firstLine="0" w:firstLineChars="0"/>
      </w:pPr>
      <w:r>
        <w:rPr>
          <w:rFonts w:ascii="Arial" w:hAnsi="Arial" w:eastAsia="Arial" w:cs="Arial"/>
          <w:i w:val="true"/>
          <w:b w:val="false"/>
          <w:u w:val="none"/>
          <w:strike w:val="false"/>
          <w:sz w:val="17"/>
          <w:szCs w:val="17"/>
          <w:color w:val="5A5A5A"/>
        </w:rPr>
        <w:t xml:space="preserve">UNICEF Combined Nutrition Database, 2026 | Indicator: Stunting (modeled height-for-age &lt; -2 SD), children under 5</w:t>
      </w:r>
    </w:p>
    <w:p>
      <w:pPr>
        <w:pStyle w:val="Normal"/>
        <w:jc w:val="left"/>
        <w:keepNext/>
        <w:pBdr>
          <w:bottom w:val="none" w:sz="0" w:space="0" w:color="000000"/>
          <w:top w:val="none" w:sz="0" w:space="0" w:color="000000"/>
          <w:left w:val="single" w:sz="16" w:space="0" w:color="00AEEF"/>
          <w:right w:val="none" w:sz="0" w:space="0" w:color="000000"/>
        </w:pBdr>
        <w:spacing w:after="20" w:before="80" w:line="240"/>
        <w:ind w:left="160" w:right="0" w:firstLine="0" w:firstLineChars="0"/>
        <w:shd w:val="clear" w:color="auto" w:fill="EAF6FB"/>
      </w:pPr>
      <w:r>
        <w:rPr>
          <w:rFonts w:ascii="Arial" w:hAnsi="Arial" w:eastAsia="Arial" w:cs="Arial"/>
          <w:i w:val="false"/>
          <w:b w:val="true"/>
          <w:u w:val="none"/>
          <w:strike w:val="false"/>
          <w:sz w:val="18"/>
          <w:szCs w:val="18"/>
          <w:color w:val="1F4E79"/>
        </w:rPr>
        <w:t xml:space="preserve">Key Messages</w:t>
      </w:r>
    </w:p>
    <w:p>
      <w:pPr>
        <w:pStyle w:val="Normal"/>
        <w:jc w:val="left"/>
        <w:pBdr>
          <w:bottom w:val="none" w:sz="0" w:space="0" w:color="000000"/>
          <w:top w:val="none" w:sz="0" w:space="0" w:color="000000"/>
          <w:left w:val="none" w:sz="0" w:space="0" w:color="000000"/>
          <w:right w:val="none" w:sz="0" w:space="0" w:color="000000"/>
        </w:pBdr>
        <w:spacing w:after="0" w:before="0" w:line="252"/>
        <w:ind w:left="160" w:right="0" w:firstLine="0" w:firstLineChars="0"/>
        <w:shd w:val="clear" w:color="auto" w:fill="EAF6FB"/>
      </w:pPr>
      <w:r>
        <w:rPr>
          <w:rFonts w:ascii="Arial" w:hAnsi="Arial" w:eastAsia="Arial" w:cs="Arial"/>
          <w:i w:val="false"/>
          <w:b w:val="true"/>
          <w:u w:val="none"/>
          <w:strike w:val="false"/>
          <w:sz w:val="18"/>
          <w:szCs w:val="18"/>
          <w:color w:val="1F4E79"/>
        </w:rPr>
        <w:t xml:space="preserve">• </w:t>
      </w:r>
      <w:r>
        <w:rPr>
          <w:rFonts w:ascii="Arial" w:hAnsi="Arial" w:eastAsia="Arial" w:cs="Arial"/>
          <w:i w:val="false"/>
          <w:b w:val="false"/>
          <w:u w:val="none"/>
          <w:strike w:val="false"/>
          <w:sz w:val="17"/>
          <w:szCs w:val="17"/>
          <w:color w:val="1F4E79"/>
        </w:rPr>
        <w:t xml:space="preserve">An estimated 150.2 million children under 5 were stunted in 2024. The burden is highly concentrated: the top 20 countries account for over three quarters of the global total.</w:t>
      </w:r>
    </w:p>
    <w:p>
      <w:pPr>
        <w:pStyle w:val="Normal"/>
        <w:jc w:val="left"/>
        <w:pBdr>
          <w:bottom w:val="none" w:sz="0" w:space="0" w:color="000000"/>
          <w:top w:val="none" w:sz="0" w:space="0" w:color="000000"/>
          <w:left w:val="none" w:sz="0" w:space="0" w:color="000000"/>
          <w:right w:val="none" w:sz="0" w:space="0" w:color="000000"/>
        </w:pBdr>
        <w:spacing w:after="0" w:before="0" w:line="252"/>
        <w:ind w:left="160" w:right="0" w:firstLine="0" w:firstLineChars="0"/>
        <w:shd w:val="clear" w:color="auto" w:fill="EAF6FB"/>
      </w:pPr>
      <w:r>
        <w:rPr>
          <w:rFonts w:ascii="Arial" w:hAnsi="Arial" w:eastAsia="Arial" w:cs="Arial"/>
          <w:i w:val="false"/>
          <w:b w:val="true"/>
          <w:u w:val="none"/>
          <w:strike w:val="false"/>
          <w:sz w:val="18"/>
          <w:szCs w:val="18"/>
          <w:color w:val="1F4E79"/>
        </w:rPr>
        <w:t xml:space="preserve">• </w:t>
      </w:r>
      <w:r>
        <w:rPr>
          <w:rFonts w:ascii="Arial" w:hAnsi="Arial" w:eastAsia="Arial" w:cs="Arial"/>
          <w:i w:val="false"/>
          <w:b w:val="false"/>
          <w:u w:val="none"/>
          <w:strike w:val="false"/>
          <w:sz w:val="17"/>
          <w:szCs w:val="17"/>
          <w:color w:val="1F4E79"/>
        </w:rPr>
        <w:t xml:space="preserve">The highest-prevalence countries are concentrated in Sub-Saharan Africa, while the largest absolute burdens are concentrated in high-population countries in Southern Asia and Sub-Saharan Africa.</w:t>
      </w:r>
    </w:p>
    <w:p>
      <w:pPr>
        <w:pStyle w:val="Normal"/>
        <w:jc w:val="left"/>
        <w:pBdr>
          <w:bottom w:val="none" w:sz="0" w:space="0" w:color="000000"/>
          <w:top w:val="none" w:sz="0" w:space="0" w:color="000000"/>
          <w:left w:val="none" w:sz="0" w:space="0" w:color="000000"/>
          <w:right w:val="none" w:sz="0" w:space="0" w:color="000000"/>
        </w:pBdr>
        <w:spacing w:after="0" w:before="0" w:line="252"/>
        <w:ind w:left="160" w:right="0" w:firstLine="0" w:firstLineChars="0"/>
        <w:shd w:val="clear" w:color="auto" w:fill="EAF6FB"/>
      </w:pPr>
      <w:r>
        <w:rPr>
          <w:rFonts w:ascii="Arial" w:hAnsi="Arial" w:eastAsia="Arial" w:cs="Arial"/>
          <w:i w:val="false"/>
          <w:b w:val="true"/>
          <w:u w:val="none"/>
          <w:strike w:val="false"/>
          <w:sz w:val="18"/>
          <w:szCs w:val="18"/>
          <w:color w:val="1F4E79"/>
        </w:rPr>
        <w:t xml:space="preserve">• </w:t>
      </w:r>
      <w:r>
        <w:rPr>
          <w:rFonts w:ascii="Arial" w:hAnsi="Arial" w:eastAsia="Arial" w:cs="Arial"/>
          <w:i w:val="false"/>
          <w:b w:val="false"/>
          <w:u w:val="none"/>
          <w:strike w:val="false"/>
          <w:sz w:val="17"/>
          <w:szCs w:val="17"/>
          <w:color w:val="1F4E79"/>
        </w:rPr>
        <w:t xml:space="preserve">The global number of stunted children fell by 51.7 million over the past two decades, and the five countries with the largest reductions accounted for 91% of the global reduction.</w:t>
      </w:r>
    </w:p>
    <w:p>
      <w:pPr>
        <w:pStyle w:val="Normal"/>
        <w:jc w:val="left"/>
        <w:pBdr>
          <w:bottom w:val="none" w:sz="0" w:space="0" w:color="000000"/>
          <w:top w:val="none" w:sz="0" w:space="0" w:color="000000"/>
          <w:left w:val="none" w:sz="0" w:space="0" w:color="000000"/>
          <w:right w:val="none" w:sz="0" w:space="0" w:color="000000"/>
        </w:pBdr>
        <w:spacing w:after="0" w:before="0" w:line="252"/>
        <w:ind w:left="160" w:right="0" w:firstLine="0" w:firstLineChars="0"/>
        <w:shd w:val="clear" w:color="auto" w:fill="EAF6FB"/>
      </w:pPr>
      <w:r>
        <w:rPr>
          <w:rFonts w:ascii="Arial" w:hAnsi="Arial" w:eastAsia="Arial" w:cs="Arial"/>
          <w:i w:val="false"/>
          <w:b w:val="true"/>
          <w:u w:val="none"/>
          <w:strike w:val="false"/>
          <w:sz w:val="18"/>
          <w:szCs w:val="18"/>
          <w:color w:val="1F4E79"/>
        </w:rPr>
        <w:t xml:space="preserve">• </w:t>
      </w:r>
      <w:r>
        <w:rPr>
          <w:rFonts w:ascii="Arial" w:hAnsi="Arial" w:eastAsia="Arial" w:cs="Arial"/>
          <w:i w:val="false"/>
          <w:b w:val="false"/>
          <w:u w:val="none"/>
          <w:strike w:val="false"/>
          <w:sz w:val="17"/>
          <w:szCs w:val="17"/>
          <w:color w:val="1F4E79"/>
        </w:rPr>
        <w:t xml:space="preserve">Global under-five population fell by 5.3% between 2012 and 2024 and in many countries population decline accelerated the reduction in the number of stunted children.</w:t>
      </w:r>
    </w:p>
    <w:p>
      <w:pPr>
        <w:pStyle w:val="Normal"/>
        <w:jc w:val="left"/>
        <w:pBdr>
          <w:bottom w:val="none" w:sz="0" w:space="0" w:color="000000"/>
          <w:top w:val="none" w:sz="0" w:space="0" w:color="000000"/>
          <w:left w:val="none" w:sz="0" w:space="0" w:color="000000"/>
          <w:right w:val="none" w:sz="0" w:space="0" w:color="000000"/>
        </w:pBdr>
        <w:spacing w:after="0" w:before="0" w:line="252"/>
        <w:ind w:left="160" w:right="0" w:firstLine="0" w:firstLineChars="0"/>
        <w:shd w:val="clear" w:color="auto" w:fill="EAF6FB"/>
      </w:pPr>
      <w:r>
        <w:rPr>
          <w:rFonts w:ascii="Arial" w:hAnsi="Arial" w:eastAsia="Arial" w:cs="Arial"/>
          <w:i w:val="false"/>
          <w:b w:val="true"/>
          <w:u w:val="none"/>
          <w:strike w:val="false"/>
          <w:sz w:val="18"/>
          <w:szCs w:val="18"/>
          <w:color w:val="1F4E79"/>
        </w:rPr>
        <w:t xml:space="preserve">• </w:t>
      </w:r>
      <w:r>
        <w:rPr>
          <w:rFonts w:ascii="Arial" w:hAnsi="Arial" w:eastAsia="Arial" w:cs="Arial"/>
          <w:i w:val="false"/>
          <w:b w:val="false"/>
          <w:u w:val="none"/>
          <w:strike w:val="false"/>
          <w:sz w:val="17"/>
          <w:szCs w:val="17"/>
          <w:color w:val="1F4E79"/>
        </w:rPr>
        <w:t xml:space="preserve">In contrast to global trends, child population grew by 20.3% in Sub-Saharan Africa from 2012 to 2024, and for some countries the number of stunted children rose or remained flat even when prevalence declined.</w:t>
      </w:r>
    </w:p>
    <w:p>
      <w:pPr>
        <w:pStyle w:val="Normal"/>
        <w:jc w:val="left"/>
        <w:pBdr>
          <w:bottom w:val="none" w:sz="0" w:space="0" w:color="000000"/>
          <w:top w:val="none" w:sz="0" w:space="0" w:color="000000"/>
          <w:left w:val="single" w:sz="16" w:space="0" w:color="00AEEF"/>
          <w:right w:val="none" w:sz="0" w:space="0" w:color="000000"/>
        </w:pBdr>
        <w:spacing w:after="40" w:before="0" w:line="240"/>
        <w:ind w:left="0" w:right="0" w:firstLine="0" w:firstLineChars="0"/>
        <w:shd w:val="clear" w:color="auto" w:fill="EAF6FB"/>
      </w:pPr>
      <w:r>
        <w:rPr>
          <w:rFonts w:ascii="Arial" w:hAnsi="Arial" w:eastAsia="Arial" w:cs="Arial"/>
          <w:i w:val="false"/>
          <w:b w:val="false"/>
          <w:u w:val="none"/>
          <w:strike w:val="false"/>
          <w:sz w:val="17"/>
          <w:szCs w:val="17"/>
          <w:color w:val="1F4E79"/>
        </w:rPr>
        <w:t xml:space="preserve"/>
      </w:r>
    </w:p>
    <w:p>
      <w:pPr>
        <w:pStyle w:val="Normal"/>
        <w:jc w:val="left"/>
        <w:keepNext/>
        <w:pBdr>
          <w:bottom w:val="single" w:sz="8" w:space="0" w:color="00AEEF"/>
          <w:top w:val="none" w:sz="0" w:space="0" w:color="000000"/>
          <w:left w:val="none" w:sz="0" w:space="0" w:color="000000"/>
          <w:right w:val="none" w:sz="0" w:space="0" w:color="000000"/>
        </w:pBdr>
        <w:spacing w:after="20" w:before="60" w:line="240"/>
        <w:ind w:left="0" w:right="0" w:firstLine="0" w:firstLineChars="0"/>
      </w:pPr>
      <w:r>
        <w:rPr>
          <w:rFonts w:ascii="Arial" w:hAnsi="Arial" w:eastAsia="Arial" w:cs="Arial"/>
          <w:i w:val="false"/>
          <w:b w:val="true"/>
          <w:u w:val="none"/>
          <w:strike w:val="false"/>
          <w:sz w:val="22"/>
          <w:szCs w:val="22"/>
          <w:color w:val="1F4E79"/>
        </w:rPr>
        <w:t xml:space="preserve">Current Scale: Prevalence &amp; Burden</w:t>
      </w:r>
    </w:p>
    <w:p>
      <w:pPr>
        <w:pStyle w:val="Normal"/>
        <w:jc w:val="left"/>
        <w:pBdr>
          <w:bottom w:val="none" w:sz="0" w:space="0" w:color="000000"/>
          <w:top w:val="none" w:sz="0" w:space="0" w:color="000000"/>
          <w:left w:val="none" w:sz="0" w:space="0" w:color="000000"/>
          <w:right w:val="none" w:sz="0" w:space="0" w:color="000000"/>
        </w:pBdr>
        <w:spacing w:after="40" w:before="0" w:line="252"/>
        <w:ind w:left="0" w:right="0" w:firstLine="0" w:firstLineChars="0"/>
      </w:pPr>
      <w:r>
        <w:rPr>
          <w:rFonts w:ascii="Arial" w:hAnsi="Arial" w:eastAsia="Arial" w:cs="Arial"/>
          <w:i w:val="false"/>
          <w:b w:val="false"/>
          <w:u w:val="none"/>
          <w:strike w:val="false"/>
          <w:sz w:val="17"/>
          <w:szCs w:val="17"/>
          <w:color w:val="1D1D1B"/>
        </w:rPr>
        <w:t xml:space="preserve">Burundi had the highest modeled stunting prevalence in 2024 at 55.3%, followed by Niger, Eritrea, Angola, and Papua New Guinea. The highest-prevalence countries remain concentrated in Sub-Saharan Africa, with one Pacific country in the top five. (Figure 1a)</w:t>
      </w:r>
    </w:p>
    <w:p>
      <w:pPr>
        <w:pStyle w:val="Normal"/>
        <w:jc w:val="left"/>
        <w:pBdr>
          <w:bottom w:val="none" w:sz="0" w:space="0" w:color="000000"/>
          <w:top w:val="none" w:sz="0" w:space="0" w:color="000000"/>
          <w:left w:val="none" w:sz="0" w:space="0" w:color="000000"/>
          <w:right w:val="none" w:sz="0" w:space="0" w:color="000000"/>
        </w:pBdr>
        <w:spacing w:after="40" w:before="0" w:line="252"/>
        <w:ind w:left="0" w:right="0" w:firstLine="0" w:firstLineChars="0"/>
      </w:pPr>
      <w:r>
        <w:rPr>
          <w:rFonts w:ascii="Arial" w:hAnsi="Arial" w:eastAsia="Arial" w:cs="Arial"/>
          <w:i w:val="false"/>
          <w:b w:val="false"/>
          <w:u w:val="none"/>
          <w:strike w:val="false"/>
          <w:sz w:val="17"/>
          <w:szCs w:val="17"/>
          <w:color w:val="1D1D1B"/>
        </w:rPr>
        <w:t xml:space="preserve">India had the largest estimated number of stunted children in 2024 at 37.4 million - one in every four stunted children globally. At the regional level, Southern Asia remained the single largest concentration of affected children at 56.4 million, while Sub-Saharan Africa had 59.6 million in total.</w:t>
      </w:r>
    </w:p>
    <w:p>
      <w:pPr>
        <w:pStyle w:val="Normal"/>
        <w:jc w:val="left"/>
        <w:pBdr>
          <w:bottom w:val="none" w:sz="0" w:space="0" w:color="000000"/>
          <w:top w:val="none" w:sz="0" w:space="0" w:color="000000"/>
          <w:left w:val="none" w:sz="0" w:space="0" w:color="000000"/>
          <w:right w:val="none" w:sz="0" w:space="0" w:color="000000"/>
        </w:pBdr>
        <w:spacing w:after="40" w:before="0" w:line="252"/>
        <w:ind w:left="0" w:right="0" w:firstLine="0" w:firstLineChars="0"/>
      </w:pPr>
      <w:r>
        <w:rPr>
          <w:rFonts w:ascii="Arial" w:hAnsi="Arial" w:eastAsia="Arial" w:cs="Arial"/>
          <w:i w:val="false"/>
          <w:b w:val="false"/>
          <w:u w:val="none"/>
          <w:strike w:val="false"/>
          <w:sz w:val="17"/>
          <w:szCs w:val="17"/>
          <w:color w:val="1D1D1B"/>
        </w:rPr>
        <w:t xml:space="preserve">The burden is highly concentrated. (Figure 1b) The top 5 countries accounted for 50% of the global total, the top 10 for 62%, and the top 20 for 77%.</w:t>
      </w:r>
    </w:p>
    <w:p>
      <w:pPr>
        <w:pStyle w:val="Normal"/>
        <w:jc w:val="left"/>
        <w:pBdr>
          <w:bottom w:val="none" w:sz="0" w:space="0" w:color="000000"/>
          <w:top w:val="none" w:sz="0" w:space="0" w:color="000000"/>
          <w:left w:val="none" w:sz="0" w:space="0" w:color="000000"/>
          <w:right w:val="none" w:sz="0" w:space="0" w:color="000000"/>
        </w:pBdr>
        <w:spacing w:after="40" w:before="0" w:line="252"/>
        <w:ind w:left="0" w:right="0" w:firstLine="0" w:firstLineChars="0"/>
      </w:pPr>
      <w:r>
        <w:rPr>
          <w:rFonts w:ascii="Arial" w:hAnsi="Arial" w:eastAsia="Arial" w:cs="Arial"/>
          <w:i w:val="false"/>
          <w:b w:val="false"/>
          <w:u w:val="none"/>
          <w:strike w:val="false"/>
          <w:sz w:val="17"/>
          <w:szCs w:val="17"/>
          <w:color w:val="1D1D1B"/>
        </w:rPr>
        <w:t xml:space="preserve">The prevalence and burden rankings overlap but are not identical. Eleven countries appear in both the top-20 highest-prevalence and top-20 highest-burden lists: Afghanistan, Angola, the Democratic Republic of the Congo, Ethiopia, Madagascar, Mozambique, Niger, Nigeria, Pakistan, Sudan, and Yemen. Targeting countries with both high prevalence and high burden can enable an equityf-focused approach that also achieves impact at scale.</w:t>
      </w:r>
    </w:p>
    <w:p>
      <w:pPr>
        <w:pStyle w:val="Normal"/>
      </w:pPr>
      <w:r>
        <w:rPr/>
        <w:drawing>
          <wp:inline distT="0" distB="0" distL="0" distR="0">
            <wp:extent cx="5532120" cy="2617507"/>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17"/>
                    <a:stretch>
                      <a:fillRect/>
                    </a:stretch>
                  </pic:blipFill>
                  <pic:spPr bwMode="auto">
                    <a:xfrm>
                      <a:off x="0" y="0"/>
                      <a:ext cx="5532120" cy="2617507"/>
                    </a:xfrm>
                    <a:prstGeom prst="rect">
                      <a:avLst/>
                    </a:prstGeom>
                    <a:noFill/>
                  </pic:spPr>
                </pic:pic>
              </a:graphicData>
            </a:graphic>
          </wp:inline>
        </w:drawing>
      </w:r>
    </w:p>
    <w:p>
      <w:pPr>
        <w:pStyle w:val="Normal"/>
        <w:jc w:val="left"/>
        <w:pBdr>
          <w:bottom w:val="none" w:sz="0" w:space="0" w:color="000000"/>
          <w:top w:val="none" w:sz="0" w:space="0" w:color="000000"/>
          <w:left w:val="none" w:sz="0" w:space="0" w:color="000000"/>
          <w:right w:val="none" w:sz="0" w:space="0" w:color="000000"/>
        </w:pBdr>
        <w:spacing w:after="10" w:before="0" w:line="240"/>
        <w:ind w:left="0" w:right="0" w:firstLine="0" w:firstLineChars="0"/>
      </w:pPr>
      <w:r>
        <w:rPr>
          <w:rFonts w:ascii="Arial" w:hAnsi="Arial" w:eastAsia="Arial" w:cs="Arial"/>
          <w:i w:val="false"/>
          <w:b w:val="false"/>
          <w:u w:val="none"/>
          <w:strike w:val="false"/>
          <w:sz w:val="13"/>
          <w:szCs w:val="13"/>
          <w:color w:val="5A5A5A"/>
        </w:rPr>
        <w:t xml:space="preserve">11-20 prevalence, 2024: Central African Republic (38.9%); Madagascar (38.4%); Mozambique (37.0%); Ethiopia (35.5%); Sudan (35.4%); Lesotho (35.0%); Nigeria (33.8%); Pakistan (33.6%); Benin (33.2%); Malawi (33.2%)</w:t>
      </w:r>
    </w:p>
    <w:p>
      <w:pPr>
        <w:pStyle w:val="Normal"/>
        <w:jc w:val="left"/>
        <w:pBdr>
          <w:bottom w:val="none" w:sz="0" w:space="0" w:color="000000"/>
          <w:top w:val="none" w:sz="0" w:space="0" w:color="000000"/>
          <w:left w:val="none" w:sz="0" w:space="0" w:color="000000"/>
          <w:right w:val="none" w:sz="0" w:space="0" w:color="000000"/>
        </w:pBdr>
        <w:spacing w:after="10" w:before="0" w:line="240"/>
        <w:ind w:left="0" w:right="0" w:firstLine="0" w:firstLineChars="0"/>
      </w:pPr>
      <w:r>
        <w:rPr>
          <w:rFonts w:ascii="Arial" w:hAnsi="Arial" w:eastAsia="Arial" w:cs="Arial"/>
          <w:i w:val="false"/>
          <w:b w:val="false"/>
          <w:u w:val="none"/>
          <w:strike w:val="false"/>
          <w:sz w:val="13"/>
          <w:szCs w:val="13"/>
          <w:color w:val="5A5A5A"/>
        </w:rPr>
        <w:t xml:space="preserve">11-20 number of stunted children, 2024: Afghanistan (2.8m); Sudan (2.7m); Philippines (2.5m); China (2.4m); Niger (2.3m); Mozambique (2.1m); Uganda (1.9m); Madagascar (1.8m); Egypt (1.5m); South Africa (1.4m)</w:t>
      </w:r>
    </w:p>
    <w:p>
      <w:pPr>
        <w:pStyle w:val="Normal"/>
        <w:jc w:val="left"/>
        <w:pBdr>
          <w:bottom w:val="none" w:sz="0" w:space="0" w:color="000000"/>
          <w:top w:val="single" w:sz="4" w:space="0" w:color="00AEEF"/>
          <w:left w:val="none" w:sz="0" w:space="0" w:color="000000"/>
          <w:right w:val="none" w:sz="0" w:space="0" w:color="000000"/>
        </w:pBdr>
        <w:spacing w:after="0" w:before="60" w:line="240"/>
        <w:ind w:left="0" w:right="0" w:firstLine="0" w:firstLineChars="0"/>
      </w:pPr>
      <w:r>
        <w:rPr>
          <w:rFonts w:ascii="Arial" w:hAnsi="Arial" w:eastAsia="Arial" w:cs="Arial"/>
          <w:i w:val="true"/>
          <w:b w:val="false"/>
          <w:u w:val="none"/>
          <w:strike w:val="false"/>
          <w:sz w:val="14"/>
          <w:szCs w:val="14"/>
          <w:color w:val="5A5A5A"/>
        </w:rPr>
        <w:t xml:space="preserve">Data source: UNICEF, WHO, World Bank Group Joint Child Malnutrition Estimates, 2025 edition.</w:t>
      </w:r>
    </w:p>
    <w:p>
      <w:pPr/>
      <w:r>
        <w:br w:type="page"/>
      </w:r>
    </w:p>
    <w:p>
      <w:pPr>
        <w:pStyle w:val="Normal"/>
        <w:jc w:val="left"/>
        <w:keepNext/>
        <w:pBdr>
          <w:bottom w:val="none" w:sz="0" w:space="0" w:color="000000"/>
          <w:top w:val="none" w:sz="0" w:space="0" w:color="000000"/>
          <w:left w:val="none" w:sz="0" w:space="0" w:color="000000"/>
          <w:right w:val="none" w:sz="0" w:space="0" w:color="000000"/>
        </w:pBdr>
        <w:spacing w:after="40" w:before="0" w:line="240"/>
        <w:ind w:left="0" w:right="0" w:firstLine="0" w:firstLineChars="0"/>
      </w:pPr>
      <w:r>
        <w:rPr>
          <w:rFonts w:ascii="Arial" w:hAnsi="Arial" w:eastAsia="Arial" w:cs="Arial"/>
          <w:i w:val="false"/>
          <w:b w:val="true"/>
          <w:u w:val="none"/>
          <w:strike w:val="false"/>
          <w:sz w:val="16"/>
          <w:szCs w:val="16"/>
          <w:color w:val="00AEEF"/>
        </w:rPr>
        <w:t xml:space="preserve">GLOBAL NUTRITION MONITORING BRIEF - UNICEF Office of Strategy and Evidence, Data &amp; Analytics Section</w:t>
      </w:r>
    </w:p>
    <w:p>
      <w:pPr>
        <w:pStyle w:val="Normal"/>
        <w:jc w:val="left"/>
        <w:keepNext/>
        <w:pBdr>
          <w:bottom w:val="single" w:sz="8" w:space="0" w:color="00AEEF"/>
          <w:top w:val="none" w:sz="0" w:space="0" w:color="000000"/>
          <w:left w:val="none" w:sz="0" w:space="0" w:color="000000"/>
          <w:right w:val="none" w:sz="0" w:space="0" w:color="000000"/>
        </w:pBdr>
        <w:spacing w:after="20" w:before="60" w:line="240"/>
        <w:ind w:left="0" w:right="0" w:firstLine="0" w:firstLineChars="0"/>
      </w:pPr>
      <w:r>
        <w:rPr>
          <w:rFonts w:ascii="Arial" w:hAnsi="Arial" w:eastAsia="Arial" w:cs="Arial"/>
          <w:i w:val="false"/>
          <w:b w:val="true"/>
          <w:u w:val="none"/>
          <w:strike w:val="false"/>
          <w:sz w:val="22"/>
          <w:szCs w:val="22"/>
          <w:color w:val="1F4E79"/>
        </w:rPr>
        <w:t xml:space="preserve">Progress: Reduction in Prevalence and Number of Affected Children Over 20 Years</w:t>
      </w:r>
    </w:p>
    <w:p>
      <w:pPr>
        <w:pStyle w:val="Normal"/>
        <w:jc w:val="left"/>
        <w:pBdr>
          <w:bottom w:val="none" w:sz="0" w:space="0" w:color="000000"/>
          <w:top w:val="none" w:sz="0" w:space="0" w:color="000000"/>
          <w:left w:val="none" w:sz="0" w:space="0" w:color="000000"/>
          <w:right w:val="none" w:sz="0" w:space="0" w:color="000000"/>
        </w:pBdr>
        <w:spacing w:after="40" w:before="0" w:line="252"/>
        <w:ind w:left="0" w:right="0" w:firstLine="0" w:firstLineChars="0"/>
      </w:pPr>
      <w:r>
        <w:rPr>
          <w:rFonts w:ascii="Arial" w:hAnsi="Arial" w:eastAsia="Arial" w:cs="Arial"/>
          <w:i w:val="false"/>
          <w:b w:val="false"/>
          <w:u w:val="none"/>
          <w:strike w:val="false"/>
          <w:sz w:val="17"/>
          <w:szCs w:val="17"/>
          <w:color w:val="1D1D1B"/>
        </w:rPr>
        <w:t xml:space="preserve">North Korea showed the largest 20-year reduction in stunting prevalence, with a decline of 27.6 percentage points between 2004 and 2024. The average reduction in prevalence for the top five ountries was 1.3 percentage points per year.</w:t>
      </w:r>
    </w:p>
    <w:p>
      <w:pPr>
        <w:pStyle w:val="Normal"/>
        <w:jc w:val="left"/>
        <w:pBdr>
          <w:bottom w:val="none" w:sz="0" w:space="0" w:color="000000"/>
          <w:top w:val="none" w:sz="0" w:space="0" w:color="000000"/>
          <w:left w:val="none" w:sz="0" w:space="0" w:color="000000"/>
          <w:right w:val="none" w:sz="0" w:space="0" w:color="000000"/>
        </w:pBdr>
        <w:spacing w:after="40" w:before="0" w:line="252"/>
        <w:ind w:left="0" w:right="0" w:firstLine="0" w:firstLineChars="0"/>
      </w:pPr>
      <w:r>
        <w:rPr>
          <w:rFonts w:ascii="Arial" w:hAnsi="Arial" w:eastAsia="Arial" w:cs="Arial"/>
          <w:i w:val="false"/>
          <w:b w:val="false"/>
          <w:u w:val="none"/>
          <w:strike w:val="false"/>
          <w:sz w:val="17"/>
          <w:szCs w:val="17"/>
          <w:color w:val="1D1D1B"/>
        </w:rPr>
        <w:t xml:space="preserve">The global number of stunted children fell from 201.9 million in 2004 to 150.2 million in 2024 - a reduction of 51.7 million. India alone accounted for 27.5 million of that reduction, or 53.3% of the global total, yet it remains the single largest-burden country.</w:t>
      </w:r>
    </w:p>
    <w:p>
      <w:pPr>
        <w:pStyle w:val="Normal"/>
        <w:jc w:val="left"/>
        <w:pBdr>
          <w:bottom w:val="none" w:sz="0" w:space="0" w:color="000000"/>
          <w:top w:val="none" w:sz="0" w:space="0" w:color="000000"/>
          <w:left w:val="none" w:sz="0" w:space="0" w:color="000000"/>
          <w:right w:val="none" w:sz="0" w:space="0" w:color="000000"/>
        </w:pBdr>
        <w:spacing w:after="40" w:before="0" w:line="252"/>
        <w:ind w:left="0" w:right="0" w:firstLine="0" w:firstLineChars="0"/>
      </w:pPr>
      <w:r>
        <w:rPr>
          <w:rFonts w:ascii="Arial" w:hAnsi="Arial" w:eastAsia="Arial" w:cs="Arial"/>
          <w:i w:val="false"/>
          <w:b w:val="false"/>
          <w:u w:val="none"/>
          <w:strike w:val="false"/>
          <w:sz w:val="17"/>
          <w:szCs w:val="17"/>
          <w:color w:val="1D1D1B"/>
        </w:rPr>
        <w:t xml:space="preserve">This concentration is striking: the top 5 burden reducers accounted for 91.3% of the global reduction, and the top 10 for 100.9%. That the top-10 share exceeds 100% is not an error - it reflects the fact that burden increased in some countries over this period, particularly in African countries that had high population growth and little or no improvement in prevalence. The top 20 reducers accounted for 111.3%, reinforcing that progress has been driven by a small number of populous countries while burden grew elsewhere.</w:t>
      </w:r>
    </w:p>
    <w:p>
      <w:pPr>
        <w:pStyle w:val="Normal"/>
      </w:pPr>
      <w:r>
        <w:rPr/>
        <w:drawing>
          <wp:inline distT="0" distB="0" distL="0" distR="0">
            <wp:extent cx="5532120" cy="2237211"/>
            <wp:docPr id="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18"/>
                    <a:stretch>
                      <a:fillRect/>
                    </a:stretch>
                  </pic:blipFill>
                  <pic:spPr bwMode="auto">
                    <a:xfrm>
                      <a:off x="0" y="0"/>
                      <a:ext cx="5532120" cy="2237211"/>
                    </a:xfrm>
                    <a:prstGeom prst="rect">
                      <a:avLst/>
                    </a:prstGeom>
                    <a:noFill/>
                  </pic:spPr>
                </pic:pic>
              </a:graphicData>
            </a:graphic>
          </wp:inline>
        </w:drawing>
      </w:r>
    </w:p>
    <w:p>
      <w:pPr>
        <w:pStyle w:val="Normal"/>
        <w:jc w:val="left"/>
        <w:pBdr>
          <w:bottom w:val="none" w:sz="0" w:space="0" w:color="000000"/>
          <w:top w:val="none" w:sz="0" w:space="0" w:color="000000"/>
          <w:left w:val="none" w:sz="0" w:space="0" w:color="000000"/>
          <w:right w:val="none" w:sz="0" w:space="0" w:color="000000"/>
        </w:pBdr>
        <w:spacing w:after="10" w:before="0" w:line="240"/>
        <w:ind w:left="0" w:right="0" w:firstLine="0" w:firstLineChars="0"/>
      </w:pPr>
      <w:r>
        <w:rPr>
          <w:rFonts w:ascii="Arial" w:hAnsi="Arial" w:eastAsia="Arial" w:cs="Arial"/>
          <w:i w:val="false"/>
          <w:b w:val="false"/>
          <w:u w:val="none"/>
          <w:strike w:val="false"/>
          <w:sz w:val="13"/>
          <w:szCs w:val="13"/>
          <w:color w:val="5A5A5A"/>
        </w:rPr>
        <w:t xml:space="preserve">11-20 reduction in prevalence, 2004-2024: Kenya (19.9 pp); Bolivia (19.6 pp); Peru (19.1 pp); Rwanda (18.7 pp); Azerbaijan (18.6 pp); Uganda (18.4 pp); Zambia (18.2 pp); Laos (18.0 pp); Iraq (17.8 pp); Sao Tome &amp; Principe (17.5 pp)</w:t>
      </w:r>
    </w:p>
    <w:p>
      <w:pPr>
        <w:pStyle w:val="Normal"/>
        <w:jc w:val="left"/>
        <w:pBdr>
          <w:bottom w:val="none" w:sz="0" w:space="0" w:color="000000"/>
          <w:top w:val="none" w:sz="0" w:space="0" w:color="000000"/>
          <w:left w:val="none" w:sz="0" w:space="0" w:color="000000"/>
          <w:right w:val="none" w:sz="0" w:space="0" w:color="000000"/>
        </w:pBdr>
        <w:spacing w:after="10" w:before="0" w:line="240"/>
        <w:ind w:left="0" w:right="0" w:firstLine="0" w:firstLineChars="0"/>
      </w:pPr>
      <w:r>
        <w:rPr>
          <w:rFonts w:ascii="Arial" w:hAnsi="Arial" w:eastAsia="Arial" w:cs="Arial"/>
          <w:i w:val="false"/>
          <w:b w:val="false"/>
          <w:u w:val="none"/>
          <w:strike w:val="false"/>
          <w:sz w:val="13"/>
          <w:szCs w:val="13"/>
          <w:color w:val="5A5A5A"/>
        </w:rPr>
        <w:t xml:space="preserve">11-20 reduction in stunted children, 2004-2024: Turkey (0.74m); Mexico (0.69m); Iraq (0.66m); Peru (0.61m); Ethiopia (0.60m); North Korea (0.53m); Pakistan (0.48m); Thailand (0.37m); Ghana (0.36m); Uganda (0.36m)</w:t>
      </w:r>
    </w:p>
    <w:p>
      <w:pPr>
        <w:pStyle w:val="Normal"/>
        <w:jc w:val="left"/>
        <w:pBdr>
          <w:bottom w:val="none" w:sz="0" w:space="0" w:color="000000"/>
          <w:top w:val="single" w:sz="4" w:space="0" w:color="00AEEF"/>
          <w:left w:val="none" w:sz="0" w:space="0" w:color="000000"/>
          <w:right w:val="none" w:sz="0" w:space="0" w:color="000000"/>
        </w:pBdr>
        <w:spacing w:after="0" w:before="60" w:line="240"/>
        <w:ind w:left="0" w:right="0" w:firstLine="0" w:firstLineChars="0"/>
      </w:pPr>
      <w:r>
        <w:rPr>
          <w:rFonts w:ascii="Arial" w:hAnsi="Arial" w:eastAsia="Arial" w:cs="Arial"/>
          <w:i w:val="true"/>
          <w:b w:val="false"/>
          <w:u w:val="none"/>
          <w:strike w:val="false"/>
          <w:sz w:val="14"/>
          <w:szCs w:val="14"/>
          <w:color w:val="5A5A5A"/>
        </w:rPr>
        <w:t xml:space="preserve">Data source: UNICEF, WHO, World Bank Group Joint Child Malnutrition Estimates, 2025 edition.</w:t>
      </w:r>
    </w:p>
    <w:p>
      <w:pPr>
        <w:pStyle w:val="Normal"/>
        <w:jc w:val="left"/>
        <w:keepNext/>
        <w:pBdr>
          <w:bottom w:val="single" w:sz="8" w:space="0" w:color="00AEEF"/>
          <w:top w:val="none" w:sz="0" w:space="0" w:color="000000"/>
          <w:left w:val="none" w:sz="0" w:space="0" w:color="000000"/>
          <w:right w:val="none" w:sz="0" w:space="0" w:color="000000"/>
        </w:pBdr>
        <w:spacing w:after="20" w:before="60" w:line="240"/>
        <w:ind w:left="0" w:right="0" w:firstLine="0" w:firstLineChars="0"/>
      </w:pPr>
      <w:r>
        <w:rPr>
          <w:rFonts w:ascii="Arial" w:hAnsi="Arial" w:eastAsia="Arial" w:cs="Arial"/>
          <w:i w:val="false"/>
          <w:b w:val="true"/>
          <w:u w:val="none"/>
          <w:strike w:val="false"/>
          <w:sz w:val="22"/>
          <w:szCs w:val="22"/>
          <w:color w:val="1F4E79"/>
        </w:rPr>
        <w:t xml:space="preserve">Interpreting the Results</w:t>
      </w:r>
    </w:p>
    <w:p>
      <w:pPr>
        <w:pStyle w:val="Normal"/>
        <w:jc w:val="left"/>
        <w:pBdr>
          <w:bottom w:val="none" w:sz="0" w:space="0" w:color="000000"/>
          <w:top w:val="none" w:sz="0" w:space="0" w:color="000000"/>
          <w:left w:val="none" w:sz="0" w:space="0" w:color="000000"/>
          <w:right w:val="none" w:sz="0" w:space="0" w:color="000000"/>
        </w:pBdr>
        <w:spacing w:after="40" w:before="0" w:line="252"/>
        <w:ind w:left="0" w:right="0" w:firstLine="0" w:firstLineChars="0"/>
      </w:pPr>
      <w:r>
        <w:rPr>
          <w:rFonts w:ascii="Arial" w:hAnsi="Arial" w:eastAsia="Arial" w:cs="Arial"/>
          <w:i w:val="false"/>
          <w:b w:val="false"/>
          <w:u w:val="none"/>
          <w:strike w:val="false"/>
          <w:sz w:val="17"/>
          <w:szCs w:val="17"/>
          <w:color w:val="1D1D1B"/>
        </w:rPr>
        <w:t xml:space="preserve">Population change is central to interpretation. The global under-five population fell from 683.5 million in 2012 to 647.3 million in 2024, but it rose from 154.0 million to 185.4 million in Sub-Saharan Africa. In Middle Africa alone, the under-five population grew by 38.5%, helping push the number of stunted children from 10.0 million to 14.8 million over the same period.</w:t>
      </w:r>
    </w:p>
    <w:p>
      <w:pPr>
        <w:pStyle w:val="Normal"/>
        <w:jc w:val="left"/>
        <w:pBdr>
          <w:bottom w:val="none" w:sz="0" w:space="0" w:color="000000"/>
          <w:top w:val="none" w:sz="0" w:space="0" w:color="000000"/>
          <w:left w:val="none" w:sz="0" w:space="0" w:color="000000"/>
          <w:right w:val="none" w:sz="0" w:space="0" w:color="000000"/>
        </w:pBdr>
        <w:spacing w:after="40" w:before="0" w:line="252"/>
        <w:ind w:left="0" w:right="0" w:firstLine="0" w:firstLineChars="0"/>
      </w:pPr>
      <w:r>
        <w:rPr>
          <w:rFonts w:ascii="Arial" w:hAnsi="Arial" w:eastAsia="Arial" w:cs="Arial"/>
          <w:i w:val="false"/>
          <w:b w:val="false"/>
          <w:u w:val="none"/>
          <w:strike w:val="false"/>
          <w:sz w:val="17"/>
          <w:szCs w:val="17"/>
          <w:color w:val="1D1D1B"/>
        </w:rPr>
        <w:t xml:space="preserve">Regional population trends help explain why prevalence gains translate unevenly into burden reduction. In Western Africa, prevalence fell from 33.7% to 29.7% from 2012 to 2024 while the number of stunted children remained almost unchanged at about 19.9 million.</w:t>
      </w:r>
    </w:p>
    <w:p>
      <w:pPr>
        <w:pStyle w:val="Normal"/>
        <w:jc w:val="left"/>
        <w:pBdr>
          <w:bottom w:val="none" w:sz="0" w:space="0" w:color="000000"/>
          <w:top w:val="none" w:sz="0" w:space="0" w:color="000000"/>
          <w:left w:val="none" w:sz="0" w:space="0" w:color="000000"/>
          <w:right w:val="none" w:sz="0" w:space="0" w:color="000000"/>
        </w:pBdr>
        <w:spacing w:after="40" w:before="0" w:line="252"/>
        <w:ind w:left="0" w:right="0" w:firstLine="0" w:firstLineChars="0"/>
      </w:pPr>
      <w:r>
        <w:rPr>
          <w:rFonts w:ascii="Arial" w:hAnsi="Arial" w:eastAsia="Arial" w:cs="Arial"/>
          <w:i w:val="false"/>
          <w:b w:val="false"/>
          <w:u w:val="none"/>
          <w:strike w:val="false"/>
          <w:sz w:val="17"/>
          <w:szCs w:val="17"/>
          <w:color w:val="1D1D1B"/>
        </w:rPr>
        <w:t xml:space="preserve">By contrast, Southern Asia combined a 6.1% decline in the under-five population with a fall in stunting prevalence from 40.3% to 31.4%, reducing the number of stunted children from 77.0 million to 56.4 million between 2012 and 2024.</w:t>
      </w:r>
    </w:p>
    <w:p>
      <w:pPr>
        <w:pStyle w:val="Normal"/>
        <w:jc w:val="left"/>
        <w:pBdr>
          <w:bottom w:val="none" w:sz="0" w:space="0" w:color="000000"/>
          <w:top w:val="none" w:sz="0" w:space="0" w:color="000000"/>
          <w:left w:val="none" w:sz="0" w:space="0" w:color="000000"/>
          <w:right w:val="none" w:sz="0" w:space="0" w:color="000000"/>
        </w:pBdr>
        <w:spacing w:after="40" w:before="0" w:line="252"/>
        <w:ind w:left="0" w:right="0" w:firstLine="0" w:firstLineChars="0"/>
      </w:pPr>
      <w:r>
        <w:rPr>
          <w:rFonts w:ascii="Arial" w:hAnsi="Arial" w:eastAsia="Arial" w:cs="Arial"/>
          <w:i w:val="false"/>
          <w:b w:val="false"/>
          <w:u w:val="none"/>
          <w:strike w:val="false"/>
          <w:sz w:val="17"/>
          <w:szCs w:val="17"/>
          <w:color w:val="1D1D1B"/>
        </w:rPr>
        <w:t xml:space="preserve">Data limitations must also be considered for interpretation.These rankings use JME modeled stunting estimates, which are appropriate for trend comparison but produce smoothed trajectories rather than direct annual observations. Acute shocks - including conflict, economic crisis, and food emergencies - may not be captured in real time by the modeled series. Estimates and rankings should not be over-interpreted.</w:t>
      </w:r>
    </w:p>
    <w:sectPr>
      <w:pgMar w:header="648" w:bottom="792" w:top="1181" w:right="936" w:left="936" w:footer="504" w:gutter="0"/>
      <w:pgSz w:h="16834" w:w="11909" w:orient="portrait"/>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4EB2C3C" w14:textId="77777777" w:rsidR="00F00841" w:rsidRDefault="00F00841" w:rsidP="001E0CFB">
      <w:pPr>
        <w:spacing w:line="240" w:lineRule="auto"/>
      </w:pPr>
      <w:r>
        <w:separator/>
      </w:r>
    </w:p>
  </w:endnote>
  <w:endnote w:type="continuationSeparator" w:id="0">
    <w:p w14:paraId="7A6BA795" w14:textId="77777777" w:rsidR="00F00841" w:rsidRDefault="00F00841" w:rsidP="001E0C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Noto Sans">
    <w:panose1 w:val="020B0502040504020204"/>
    <w:charset w:val="00"/>
    <w:family w:val="swiss"/>
    <w:pitch w:val="variable"/>
    <w:sig w:usb0="E00082FF" w:usb1="4000205F" w:usb2="08000029"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BEFA6D8" w14:textId="77777777" w:rsidR="00F00841" w:rsidRDefault="00F00841" w:rsidP="001E0CFB">
      <w:pPr>
        <w:spacing w:line="240" w:lineRule="auto"/>
      </w:pPr>
      <w:r>
        <w:separator/>
      </w:r>
    </w:p>
  </w:footnote>
  <w:footnote w:type="continuationSeparator" w:id="0">
    <w:p w14:paraId="164884FD" w14:textId="77777777" w:rsidR="00F00841" w:rsidRDefault="00F00841" w:rsidP="001E0CF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ListTable2-Accent1"/>
      <w:tblW w:w="9720" w:type="dxa"/>
      <w:tblCellMar>
        <w:top w:w="43" w:type="dxa"/>
      </w:tblCellMar>
      <w:tblLook w:val="04A0" w:firstRow="1" w:lastRow="0" w:firstColumn="1" w:lastColumn="0" w:noHBand="0" w:noVBand="1"/>
    </w:tblPr>
    <w:tblGrid>
      <w:gridCol w:w="7873"/>
      <w:gridCol w:w="1847"/>
    </w:tblGrid>
    <w:tr w:rsidR="002C2B80" w:rsidRPr="00432550" w14:paraId="2BB5032A" w14:textId="77777777" w:rsidTr="0023630D">
      <w:trPr>
        <w:cnfStyle w:val="100000000000" w:firstRow="1" w:lastRow="0" w:firstColumn="0" w:lastColumn="0" w:oddVBand="0" w:evenVBand="0" w:oddHBand="0" w:evenHBand="0" w:firstRowFirstColumn="0" w:firstRowLastColumn="0" w:lastRowFirstColumn="0" w:lastRowLastColumn="0"/>
        <w:trHeight w:val="320"/>
      </w:trPr>
      <w:tc>
        <w:tcPr>
          <w:cnfStyle w:val="001000000100" w:firstRow="0" w:lastRow="0" w:firstColumn="1" w:lastColumn="0" w:oddVBand="0" w:evenVBand="0" w:oddHBand="0" w:evenHBand="0" w:firstRowFirstColumn="1" w:firstRowLastColumn="0" w:lastRowFirstColumn="0" w:lastRowLastColumn="0"/>
          <w:tcW w:w="7873" w:type="dxa"/>
          <w:tcBorders>
            <w:top w:val="single" w:sz="12" w:space="0" w:color="00AEEF"/>
          </w:tcBorders>
          <w:shd w:val="clear" w:color="auto" w:fill="auto"/>
          <w:tcMar>
            <w:top w:w="58" w:type="dxa"/>
            <w:bottom w:w="86" w:type="dxa"/>
          </w:tcMar>
        </w:tcPr>
        <w:p w14:paraId="71B6A7A0" w14:textId="41B59AA3" w:rsidR="002C2B80" w:rsidRPr="009B3DE7" w:rsidRDefault="003C07DC" w:rsidP="0068118C">
          <w:pPr>
            <w:framePr w:hSpace="180" w:wrap="around" w:vAnchor="text" w:hAnchor="page" w:x="1079" w:y="-71"/>
            <w:spacing w:before="80" w:after="80" w:line="240" w:lineRule="auto"/>
            <w:rPr>
              <w:rFonts w:ascii="Noto Sans" w:eastAsia="Times New Roman" w:hAnsi="Noto Sans" w:cs="Noto Sans"/>
              <w:b/>
              <w:sz w:val="24"/>
            </w:rPr>
          </w:pPr>
          <w:r w:rsidRPr="009B3DE7">
            <w:rPr>
              <w:rFonts w:ascii="Noto Sans" w:hAnsi="Noto Sans" w:cs="Noto Sans"/>
              <w:b/>
              <w:bCs w:val="0"/>
              <w:color w:val="00B0F0"/>
              <w:sz w:val="24"/>
            </w:rPr>
            <w:t>UNICEF Data Brief</w:t>
          </w:r>
          <w:r w:rsidR="00F17C0C" w:rsidRPr="009B3DE7">
            <w:rPr>
              <w:rFonts w:ascii="Noto Sans" w:hAnsi="Noto Sans" w:cs="Noto Sans"/>
              <w:b/>
              <w:bCs w:val="0"/>
              <w:color w:val="00B0F0"/>
              <w:sz w:val="24"/>
            </w:rPr>
            <w:t xml:space="preserve">  </w:t>
          </w:r>
          <w:r w:rsidR="00F17C0C" w:rsidRPr="009B3DE7">
            <w:rPr>
              <w:rFonts w:ascii="Noto Sans" w:eastAsia="Times New Roman" w:hAnsi="Noto Sans" w:cs="Noto Sans"/>
              <w:color w:val="00B0F0"/>
              <w:sz w:val="24"/>
              <w:shd w:val="clear" w:color="auto" w:fill="FFFFFF"/>
            </w:rPr>
            <w:t>|</w:t>
          </w:r>
          <w:r w:rsidR="00F17C0C" w:rsidRPr="009B3DE7">
            <w:rPr>
              <w:rFonts w:ascii="Noto Sans" w:eastAsia="Times New Roman" w:hAnsi="Noto Sans" w:cs="Noto Sans"/>
              <w:b/>
              <w:bCs w:val="0"/>
              <w:color w:val="00B0F0"/>
              <w:sz w:val="24"/>
              <w:shd w:val="clear" w:color="auto" w:fill="FFFFFF"/>
            </w:rPr>
            <w:t xml:space="preserve">  </w:t>
          </w:r>
          <w:r w:rsidR="00F17C0C" w:rsidRPr="009B3DE7">
            <w:rPr>
              <w:rFonts w:ascii="Noto Sans" w:eastAsia="Times New Roman" w:hAnsi="Noto Sans" w:cs="Noto Sans"/>
              <w:color w:val="00B0F0"/>
              <w:sz w:val="24"/>
              <w:shd w:val="clear" w:color="auto" w:fill="FFFFFF"/>
            </w:rPr>
            <w:t>Global stunting brief</w:t>
          </w:r>
        </w:p>
      </w:tc>
      <w:tc>
        <w:tcPr>
          <w:tcW w:w="1847" w:type="dxa"/>
          <w:tcBorders>
            <w:top w:val="single" w:sz="12" w:space="0" w:color="00AEEF"/>
          </w:tcBorders>
          <w:shd w:val="clear" w:color="auto" w:fill="auto"/>
          <w:tcMar>
            <w:top w:w="58" w:type="dxa"/>
            <w:bottom w:w="58" w:type="dxa"/>
          </w:tcMar>
        </w:tcPr>
        <w:p w14:paraId="07498D0E" w14:textId="4102D421" w:rsidR="002C2B80" w:rsidRPr="009B3DE7" w:rsidRDefault="00135220" w:rsidP="0068118C">
          <w:pPr>
            <w:framePr w:hSpace="180" w:wrap="around" w:vAnchor="text" w:hAnchor="page" w:x="1079" w:y="-71"/>
            <w:spacing w:before="80" w:after="80" w:line="240" w:lineRule="auto"/>
            <w:jc w:val="right"/>
            <w:cnfStyle w:val="100000000000" w:firstRow="1" w:lastRow="0" w:firstColumn="0" w:lastColumn="0" w:oddVBand="0" w:evenVBand="0" w:oddHBand="0" w:evenHBand="0" w:firstRowFirstColumn="0" w:firstRowLastColumn="0" w:lastRowFirstColumn="0" w:lastRowLastColumn="0"/>
            <w:rPr>
              <w:rFonts w:ascii="Noto Sans" w:eastAsia="Times New Roman" w:hAnsi="Noto Sans" w:cs="Noto Sans"/>
              <w:sz w:val="24"/>
            </w:rPr>
          </w:pPr>
          <w:r w:rsidRPr="009B3DE7">
            <w:rPr>
              <w:rFonts w:ascii="Noto Sans" w:eastAsia="Times New Roman" w:hAnsi="Noto Sans" w:cs="Noto Sans"/>
              <w:color w:val="00B0F0"/>
              <w:sz w:val="24"/>
              <w:shd w:val="clear" w:color="auto" w:fill="FFFFFF"/>
            </w:rPr>
            <w:t xml:space="preserve">Data year </w:t>
          </w:r>
          <w:r w:rsidR="002C2B80" w:rsidRPr="009B3DE7">
            <w:rPr>
              <w:rFonts w:ascii="Noto Sans" w:eastAsia="Times New Roman" w:hAnsi="Noto Sans" w:cs="Noto Sans"/>
              <w:color w:val="00B0F0"/>
              <w:sz w:val="24"/>
              <w:shd w:val="clear" w:color="auto" w:fill="FFFFFF"/>
            </w:rPr>
            <w:t>20</w:t>
          </w:r>
          <w:r w:rsidR="00333CBE" w:rsidRPr="009B3DE7">
            <w:rPr>
              <w:rFonts w:ascii="Noto Sans" w:eastAsia="Times New Roman" w:hAnsi="Noto Sans" w:cs="Noto Sans"/>
              <w:color w:val="00B0F0"/>
              <w:sz w:val="24"/>
              <w:shd w:val="clear" w:color="auto" w:fill="FFFFFF"/>
            </w:rPr>
            <w:t>2</w:t>
          </w:r>
          <w:r w:rsidR="009B3DE7" w:rsidRPr="009B3DE7">
            <w:rPr>
              <w:rFonts w:ascii="Noto Sans" w:eastAsia="Times New Roman" w:hAnsi="Noto Sans" w:cs="Noto Sans"/>
              <w:color w:val="00B0F0"/>
              <w:sz w:val="24"/>
              <w:shd w:val="clear" w:color="auto" w:fill="FFFFFF"/>
            </w:rPr>
            <w:t>4</w:t>
          </w:r>
          <w:r w:rsidR="002C2B80" w:rsidRPr="009B3DE7">
            <w:rPr>
              <w:rFonts w:ascii="Noto Sans" w:eastAsia="Times New Roman" w:hAnsi="Noto Sans" w:cs="Noto Sans"/>
              <w:b/>
              <w:color w:val="00B0F0"/>
              <w:sz w:val="24"/>
              <w:shd w:val="clear" w:color="auto" w:fill="FFFFFF"/>
            </w:rPr>
            <w:t xml:space="preserve">      </w:t>
          </w:r>
        </w:p>
      </w:tc>
    </w:tr>
  </w:tbl>
  <w:p w14:paraId="5A473B1F" w14:textId="12671229" w:rsidR="00D03641" w:rsidRDefault="00D03641">
    <w:pPr>
      <w:pStyle w:val="Header"/>
    </w:pPr>
  </w:p>
</w:hdr>
</file>

<file path=word/settings.xml><?xml version="1.0" encoding="utf-8"?>
<w:settings xmlns:w="http://schemas.openxmlformats.org/wordprocessingml/2006/main">
  <w:zoom w:percent="128"/>
  <w:defaultTabStop w:val="720"/>
  <w:hyphenationZone w:val="360"/>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ko-K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C1D0F"/>
    <w:pPr>
      <w:spacing w:line="288" w:lineRule="auto"/>
    </w:pPr>
    <w:rPr>
      <w:rFonts w:ascii="Arial" w:hAnsi="Arial"/>
      <w:sz w:val="20"/>
    </w:rPr>
  </w:style>
  <w:style w:type="paragraph" w:styleId="Heading1">
    <w:name w:val="heading 1"/>
    <w:basedOn w:val="Normal"/>
    <w:next w:val="Normal"/>
    <w:link w:val="Heading1Char"/>
    <w:uiPriority w:val="9"/>
    <w:qFormat/>
    <w:rsid w:val="00B77003"/>
    <w:pPr>
      <w:keepNext/>
      <w:keepLines/>
      <w:spacing w:before="240"/>
      <w:outlineLvl w:val="0"/>
    </w:pPr>
    <w:rPr>
      <w:rFonts w:eastAsiaTheme="majorEastAsia" w:cstheme="majorBidi"/>
      <w:color w:val="00AEEF"/>
      <w:sz w:val="40"/>
      <w:szCs w:val="32"/>
    </w:rPr>
  </w:style>
  <w:style w:type="paragraph" w:styleId="Heading2">
    <w:name w:val="heading 2"/>
    <w:aliases w:val="Subheading"/>
    <w:basedOn w:val="Normal"/>
    <w:next w:val="Normal"/>
    <w:link w:val="Heading2Char"/>
    <w:uiPriority w:val="9"/>
    <w:unhideWhenUsed/>
    <w:qFormat/>
    <w:rsid w:val="00EB7780"/>
    <w:pPr>
      <w:keepNext/>
      <w:keepLines/>
      <w:spacing w:before="40"/>
      <w:outlineLvl w:val="1"/>
    </w:pPr>
    <w:rPr>
      <w:rFonts w:eastAsiaTheme="majorEastAsia" w:cstheme="majorBidi"/>
      <w:color w:val="00AEEF"/>
      <w:sz w:val="26"/>
      <w:szCs w:val="26"/>
    </w:rPr>
  </w:style>
  <w:style w:type="paragraph" w:styleId="Heading3">
    <w:name w:val="heading 3"/>
    <w:aliases w:val="title"/>
    <w:basedOn w:val="Normal"/>
    <w:next w:val="Normal"/>
    <w:link w:val="Heading3Char"/>
    <w:uiPriority w:val="9"/>
    <w:unhideWhenUsed/>
    <w:qFormat/>
    <w:rsid w:val="00EB7780"/>
    <w:pPr>
      <w:keepNext/>
      <w:keepLines/>
      <w:spacing w:before="40"/>
      <w:outlineLvl w:val="2"/>
    </w:pPr>
    <w:rPr>
      <w:rFonts w:eastAsiaTheme="majorEastAsia" w:cstheme="majorBidi"/>
      <w:color w:val="00AEEF"/>
      <w:sz w:val="34"/>
    </w:rPr>
  </w:style>
  <w:style w:type="paragraph" w:styleId="Heading4">
    <w:name w:val="heading 4"/>
    <w:aliases w:val="Heading 3_subheading"/>
    <w:basedOn w:val="Normal"/>
    <w:next w:val="Normal"/>
    <w:link w:val="Heading4Char"/>
    <w:uiPriority w:val="9"/>
    <w:unhideWhenUsed/>
    <w:qFormat/>
    <w:rsid w:val="00EB7780"/>
    <w:pPr>
      <w:keepNext/>
      <w:keepLines/>
      <w:spacing w:before="40"/>
      <w:outlineLvl w:val="3"/>
    </w:pPr>
    <w:rPr>
      <w:rFonts w:eastAsiaTheme="majorEastAsia" w:cstheme="majorBidi"/>
      <w:iCs/>
      <w:color w:val="00AEE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aliases w:val="Document Type"/>
    <w:basedOn w:val="DefaultParagraphFont"/>
    <w:uiPriority w:val="99"/>
    <w:unhideWhenUsed/>
    <w:qFormat/>
    <w:rsid w:val="00AF0DAC"/>
    <w:rPr>
      <w:rFonts w:ascii="Arial" w:hAnsi="Arial"/>
      <w:color w:val="00A3DB"/>
      <w:sz w:val="40"/>
      <w:u w:val="single"/>
    </w:rPr>
  </w:style>
  <w:style w:type="character" w:styleId="SmartHyperlink">
    <w:name w:val="Smart Hyperlink"/>
    <w:aliases w:val="Region"/>
    <w:basedOn w:val="Hyperlink"/>
    <w:uiPriority w:val="99"/>
    <w:unhideWhenUsed/>
    <w:rsid w:val="00AF0DAC"/>
    <w:rPr>
      <w:rFonts w:ascii="Arial" w:hAnsi="Arial"/>
      <w:color w:val="000000" w:themeColor="text1"/>
      <w:sz w:val="40"/>
      <w:u w:val="single"/>
    </w:rPr>
  </w:style>
  <w:style w:type="character" w:styleId="FollowedHyperlink">
    <w:name w:val="FollowedHyperlink"/>
    <w:basedOn w:val="DefaultParagraphFont"/>
    <w:uiPriority w:val="99"/>
    <w:unhideWhenUsed/>
    <w:qFormat/>
    <w:rsid w:val="00BF41A1"/>
    <w:rPr>
      <w:rFonts w:ascii="Arial" w:hAnsi="Arial"/>
      <w:b w:val="0"/>
      <w:i w:val="0"/>
      <w:color w:val="00AEEF"/>
      <w:sz w:val="18"/>
      <w:u w:val="single"/>
    </w:rPr>
  </w:style>
  <w:style w:type="character" w:customStyle="1" w:styleId="Heading1Char">
    <w:name w:val="Heading 1 Char"/>
    <w:basedOn w:val="DefaultParagraphFont"/>
    <w:link w:val="Heading1"/>
    <w:uiPriority w:val="9"/>
    <w:rsid w:val="00B77003"/>
    <w:rPr>
      <w:rFonts w:ascii="Arial" w:eastAsiaTheme="majorEastAsia" w:hAnsi="Arial" w:cstheme="majorBidi"/>
      <w:color w:val="00AEEF"/>
      <w:sz w:val="40"/>
      <w:szCs w:val="32"/>
    </w:rPr>
  </w:style>
  <w:style w:type="character" w:customStyle="1" w:styleId="Heading2Char">
    <w:name w:val="Heading 2 Char"/>
    <w:aliases w:val="Subheading Char"/>
    <w:basedOn w:val="DefaultParagraphFont"/>
    <w:link w:val="Heading2"/>
    <w:uiPriority w:val="9"/>
    <w:rsid w:val="00EB7780"/>
    <w:rPr>
      <w:rFonts w:ascii="Arial" w:eastAsiaTheme="majorEastAsia" w:hAnsi="Arial" w:cstheme="majorBidi"/>
      <w:color w:val="00AEEF"/>
      <w:sz w:val="26"/>
      <w:szCs w:val="26"/>
    </w:rPr>
  </w:style>
  <w:style w:type="character" w:customStyle="1" w:styleId="Heading3Char">
    <w:name w:val="Heading 3 Char"/>
    <w:aliases w:val="title Char"/>
    <w:basedOn w:val="DefaultParagraphFont"/>
    <w:link w:val="Heading3"/>
    <w:uiPriority w:val="9"/>
    <w:rsid w:val="00EB7780"/>
    <w:rPr>
      <w:rFonts w:ascii="Arial" w:eastAsiaTheme="majorEastAsia" w:hAnsi="Arial" w:cstheme="majorBidi"/>
      <w:color w:val="00AEEF"/>
      <w:sz w:val="34"/>
    </w:rPr>
  </w:style>
  <w:style w:type="character" w:customStyle="1" w:styleId="Heading4Char">
    <w:name w:val="Heading 4 Char"/>
    <w:aliases w:val="Heading 3_subheading Char"/>
    <w:basedOn w:val="DefaultParagraphFont"/>
    <w:link w:val="Heading4"/>
    <w:uiPriority w:val="9"/>
    <w:rsid w:val="00EB7780"/>
    <w:rPr>
      <w:rFonts w:ascii="Arial" w:eastAsiaTheme="majorEastAsia" w:hAnsi="Arial" w:cstheme="majorBidi"/>
      <w:iCs/>
      <w:color w:val="00AEEF"/>
      <w:sz w:val="20"/>
    </w:rPr>
  </w:style>
  <w:style w:type="table" w:customStyle="1" w:styleId="Style1">
    <w:name w:val="Style1"/>
    <w:basedOn w:val="TableNormal"/>
    <w:uiPriority w:val="99"/>
    <w:rsid w:val="006C183B"/>
    <w:rPr>
      <w:rFonts w:ascii="Arial" w:hAnsi="Arial"/>
    </w:rPr>
    <w:tblPr/>
  </w:style>
  <w:style w:type="table" w:styleId="ListTable2-Accent1">
    <w:name w:val="List Table 2 Accent 1"/>
    <w:basedOn w:val="TableNormal"/>
    <w:uiPriority w:val="47"/>
    <w:rsid w:val="006C183B"/>
    <w:pPr>
      <w:spacing w:before="100" w:after="100"/>
    </w:pPr>
    <w:rPr>
      <w:rFonts w:ascii="Arial" w:hAnsi="Arial"/>
    </w:rPr>
    <w:tblPr>
      <w:tblStyleRowBandSize w:val="1"/>
      <w:tblStyleColBandSize w:val="1"/>
      <w:tblBorders>
        <w:top w:val="single" w:sz="4" w:space="0" w:color="00AEEF"/>
        <w:bottom w:val="single" w:sz="4" w:space="0" w:color="00AEEF"/>
        <w:insideH w:val="single" w:sz="4" w:space="0" w:color="00AEEF"/>
      </w:tblBorders>
      <w:tblCellMar>
        <w:top w:w="288" w:type="dxa"/>
        <w:left w:w="115" w:type="dxa"/>
        <w:bottom w:w="288" w:type="dxa"/>
        <w:right w:w="115" w:type="dxa"/>
      </w:tblCellMar>
    </w:tblPr>
    <w:tcPr>
      <w:shd w:val="clear" w:color="auto" w:fill="FFFFFF" w:themeFill="background1"/>
    </w:tcPr>
    <w:tblStylePr w:type="firstRow">
      <w:rPr>
        <w:b w:val="0"/>
        <w:bCs/>
      </w:rPr>
      <w:tblPr>
        <w:tblCellMar>
          <w:top w:w="72" w:type="dxa"/>
          <w:left w:w="115" w:type="dxa"/>
          <w:bottom w:w="72" w:type="dxa"/>
          <w:right w:w="115" w:type="dxa"/>
        </w:tblCellMar>
      </w:tblPr>
    </w:tblStylePr>
    <w:tblStylePr w:type="lastRow">
      <w:rPr>
        <w:b/>
        <w:bCs/>
      </w:rPr>
    </w:tblStylePr>
    <w:tblStylePr w:type="firstCol">
      <w:rPr>
        <w:b w:val="0"/>
        <w:bCs/>
      </w:rPr>
    </w:tblStylePr>
    <w:tblStylePr w:type="lastCol">
      <w:rPr>
        <w:b/>
        <w:bCs/>
      </w:rPr>
    </w:tblStylePr>
    <w:tblStylePr w:type="band1Vert">
      <w:rPr>
        <w:rFonts w:ascii="Arial" w:hAnsi="Arial"/>
      </w:rPr>
    </w:tblStylePr>
    <w:tblStylePr w:type="nwCell">
      <w:pPr>
        <w:wordWrap/>
        <w:spacing w:beforeLines="0" w:before="72" w:beforeAutospacing="0" w:afterLines="0" w:after="72" w:afterAutospacing="0" w:line="240" w:lineRule="auto"/>
      </w:pPr>
      <w:rPr>
        <w:rFonts w:ascii="Arial" w:hAnsi="Arial"/>
        <w:b w:val="0"/>
        <w:i w:val="0"/>
      </w:rPr>
    </w:tblStylePr>
    <w:tblStylePr w:type="seCell">
      <w:tblPr>
        <w:tblCellMar>
          <w:top w:w="115" w:type="dxa"/>
          <w:left w:w="115" w:type="dxa"/>
          <w:bottom w:w="115" w:type="dxa"/>
          <w:right w:w="115" w:type="dxa"/>
        </w:tblCellMar>
      </w:tblPr>
    </w:tblStylePr>
    <w:tblStylePr w:type="swCell">
      <w:tblPr>
        <w:tblCellMar>
          <w:top w:w="115" w:type="dxa"/>
          <w:left w:w="115" w:type="dxa"/>
          <w:bottom w:w="115" w:type="dxa"/>
          <w:right w:w="115" w:type="dxa"/>
        </w:tblCellMar>
      </w:tblPr>
    </w:tblStylePr>
  </w:style>
  <w:style w:type="character" w:styleId="EndnoteReference">
    <w:name w:val="endnote reference"/>
    <w:uiPriority w:val="99"/>
    <w:unhideWhenUsed/>
    <w:rsid w:val="004F06C5"/>
    <w:rPr>
      <w:rFonts w:ascii="Arial" w:hAnsi="Arial"/>
      <w:color w:val="6F787E"/>
      <w:sz w:val="20"/>
      <w:szCs w:val="20"/>
      <w:vertAlign w:val="superscript"/>
    </w:rPr>
  </w:style>
  <w:style w:type="paragraph" w:styleId="Header">
    <w:name w:val="header"/>
    <w:basedOn w:val="Normal"/>
    <w:link w:val="HeaderChar"/>
    <w:uiPriority w:val="99"/>
    <w:unhideWhenUsed/>
    <w:rsid w:val="001E0CFB"/>
    <w:pPr>
      <w:tabs>
        <w:tab w:val="center" w:pos="4680"/>
        <w:tab w:val="right" w:pos="9360"/>
      </w:tabs>
      <w:spacing w:line="240" w:lineRule="auto"/>
    </w:pPr>
  </w:style>
  <w:style w:type="character" w:customStyle="1" w:styleId="HeaderChar">
    <w:name w:val="Header Char"/>
    <w:basedOn w:val="DefaultParagraphFont"/>
    <w:link w:val="Header"/>
    <w:uiPriority w:val="99"/>
    <w:rsid w:val="001E0CFB"/>
    <w:rPr>
      <w:rFonts w:ascii="Arial" w:hAnsi="Arial"/>
      <w:sz w:val="20"/>
    </w:rPr>
  </w:style>
  <w:style w:type="paragraph" w:styleId="Footer">
    <w:name w:val="footer"/>
    <w:basedOn w:val="Normal"/>
    <w:link w:val="FooterChar"/>
    <w:uiPriority w:val="99"/>
    <w:unhideWhenUsed/>
    <w:rsid w:val="001E0CFB"/>
    <w:pPr>
      <w:tabs>
        <w:tab w:val="center" w:pos="4680"/>
        <w:tab w:val="right" w:pos="9360"/>
      </w:tabs>
      <w:spacing w:line="240" w:lineRule="auto"/>
    </w:pPr>
  </w:style>
  <w:style w:type="character" w:customStyle="1" w:styleId="FooterChar">
    <w:name w:val="Footer Char"/>
    <w:basedOn w:val="DefaultParagraphFont"/>
    <w:link w:val="Footer"/>
    <w:uiPriority w:val="99"/>
    <w:rsid w:val="001E0CFB"/>
    <w:rPr>
      <w:rFonts w:ascii="Arial" w:hAnsi="Arial"/>
      <w:sz w:val="20"/>
    </w:rPr>
  </w:style>
  <w:style w:type="table" w:customStyle="1" w:styleId="ListTable2-Accent11">
    <w:name w:val="List Table 2 - Accent 11"/>
    <w:basedOn w:val="TableNormal"/>
    <w:next w:val="ListTable2-Accent1"/>
    <w:uiPriority w:val="47"/>
    <w:rsid w:val="00D03641"/>
    <w:pPr>
      <w:spacing w:before="100" w:after="100"/>
    </w:pPr>
    <w:rPr>
      <w:rFonts w:ascii="Arial" w:hAnsi="Arial"/>
    </w:rPr>
    <w:tblPr>
      <w:tblStyleRowBandSize w:val="1"/>
      <w:tblStyleColBandSize w:val="1"/>
      <w:tblBorders>
        <w:top w:val="single" w:sz="4" w:space="0" w:color="00AEEF"/>
        <w:bottom w:val="single" w:sz="4" w:space="0" w:color="00AEEF"/>
        <w:insideH w:val="single" w:sz="4" w:space="0" w:color="00AEEF"/>
      </w:tblBorders>
      <w:tblCellMar>
        <w:top w:w="288" w:type="dxa"/>
        <w:left w:w="115" w:type="dxa"/>
        <w:bottom w:w="288" w:type="dxa"/>
        <w:right w:w="115" w:type="dxa"/>
      </w:tblCellMar>
    </w:tblPr>
    <w:tcPr>
      <w:shd w:val="clear" w:color="auto" w:fill="FFFFFF" w:themeFill="background1"/>
    </w:tcPr>
    <w:tblStylePr w:type="firstRow">
      <w:rPr>
        <w:b w:val="0"/>
        <w:bCs/>
      </w:rPr>
      <w:tblPr>
        <w:tblCellMar>
          <w:top w:w="72" w:type="dxa"/>
          <w:left w:w="115" w:type="dxa"/>
          <w:bottom w:w="72" w:type="dxa"/>
          <w:right w:w="115" w:type="dxa"/>
        </w:tblCellMar>
      </w:tblPr>
    </w:tblStylePr>
    <w:tblStylePr w:type="lastRow">
      <w:rPr>
        <w:b/>
        <w:bCs/>
      </w:rPr>
    </w:tblStylePr>
    <w:tblStylePr w:type="firstCol">
      <w:rPr>
        <w:b w:val="0"/>
        <w:bCs/>
      </w:rPr>
    </w:tblStylePr>
    <w:tblStylePr w:type="lastCol">
      <w:rPr>
        <w:b/>
        <w:bCs/>
      </w:rPr>
    </w:tblStylePr>
    <w:tblStylePr w:type="band1Vert">
      <w:rPr>
        <w:rFonts w:ascii="Arial" w:hAnsi="Arial"/>
      </w:rPr>
    </w:tblStylePr>
    <w:tblStylePr w:type="nwCell">
      <w:pPr>
        <w:wordWrap/>
        <w:spacing w:beforeLines="0" w:before="72" w:beforeAutospacing="0" w:afterLines="0" w:after="72" w:afterAutospacing="0" w:line="240" w:lineRule="auto"/>
      </w:pPr>
      <w:rPr>
        <w:rFonts w:ascii="Arial" w:hAnsi="Arial"/>
        <w:b w:val="0"/>
        <w:i w:val="0"/>
      </w:rPr>
    </w:tblStylePr>
    <w:tblStylePr w:type="seCell">
      <w:tblPr>
        <w:tblCellMar>
          <w:top w:w="115" w:type="dxa"/>
          <w:left w:w="115" w:type="dxa"/>
          <w:bottom w:w="115" w:type="dxa"/>
          <w:right w:w="115" w:type="dxa"/>
        </w:tblCellMar>
      </w:tblPr>
    </w:tblStylePr>
    <w:tblStylePr w:type="swCell">
      <w:tblPr>
        <w:tblCellMar>
          <w:top w:w="115" w:type="dxa"/>
          <w:left w:w="115" w:type="dxa"/>
          <w:bottom w:w="115" w:type="dxa"/>
          <w:right w:w="115" w:type="dxa"/>
        </w:tblCellMar>
      </w:tblPr>
    </w:tblStylePr>
  </w:style>
  <w:style w:type="table" w:styleId="TableGrid">
    <w:name w:val="Table Grid"/>
    <w:basedOn w:val="TableNormal"/>
    <w:uiPriority w:val="39"/>
    <w:rsid w:val="004749C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2B61D6"/>
    <w:rPr>
      <w:rFonts w:ascii="Arial" w:hAnsi="Arial"/>
    </w:rPr>
    <w:tblPr>
      <w:tblStyleRowBandSize w:val="1"/>
      <w:tblStyleColBandSize w:val="1"/>
      <w:tblBorders>
        <w:top w:val="single" w:sz="4" w:space="0" w:color="00AEEF"/>
        <w:bottom w:val="single" w:sz="4" w:space="0" w:color="00AEEF"/>
      </w:tblBorders>
    </w:tblPr>
    <w:tcPr>
      <w:shd w:val="clear" w:color="auto" w:fill="auto"/>
    </w:tcPr>
    <w:tblStylePr w:type="firstRow">
      <w:rPr>
        <w:rFonts w:ascii="Arial" w:hAnsi="Arial"/>
        <w:b/>
        <w:bCs/>
        <w:color w:val="00AEEF"/>
      </w:rPr>
      <w:tblPr/>
      <w:tcPr>
        <w:shd w:val="clear" w:color="auto" w:fill="auto"/>
      </w:tcPr>
    </w:tblStylePr>
    <w:tblStylePr w:type="lastRow">
      <w:rPr>
        <w:rFonts w:ascii="Arial" w:hAnsi="Arial"/>
        <w:b w:val="0"/>
        <w:bCs/>
      </w:rPr>
      <w:tblPr/>
      <w:tcPr>
        <w:tcBorders>
          <w:top w:val="single" w:sz="4" w:space="0" w:color="7F7F7F" w:themeColor="text1" w:themeTint="80"/>
        </w:tcBorders>
      </w:tcPr>
    </w:tblStylePr>
    <w:tblStylePr w:type="firstCol">
      <w:rPr>
        <w:rFonts w:ascii="Arial" w:hAnsi="Arial"/>
        <w:b w:val="0"/>
        <w:bCs/>
      </w:rPr>
      <w:tblPr/>
      <w:tcPr>
        <w:shd w:val="clear" w:color="auto" w:fill="auto"/>
      </w:tcPr>
    </w:tblStylePr>
    <w:tblStylePr w:type="lastCol">
      <w:rPr>
        <w:rFonts w:ascii="Arial" w:hAnsi="Arial"/>
        <w:b w:val="0"/>
        <w:bCs/>
      </w:rPr>
    </w:tblStylePr>
    <w:tblStylePr w:type="band1Vert">
      <w:rPr>
        <w:rFonts w:ascii="Arial" w:hAnsi="Arial"/>
      </w:rPr>
      <w:tblPr/>
      <w:tcPr>
        <w:tcBorders>
          <w:left w:val="single" w:sz="4" w:space="0" w:color="7F7F7F" w:themeColor="text1" w:themeTint="80"/>
          <w:right w:val="single" w:sz="4" w:space="0" w:color="7F7F7F" w:themeColor="text1" w:themeTint="80"/>
        </w:tcBorders>
      </w:tcPr>
    </w:tblStylePr>
    <w:tblStylePr w:type="band2Vert">
      <w:rPr>
        <w:rFonts w:ascii="Arial" w:hAnsi="Arial"/>
      </w:rPr>
      <w:tblPr/>
      <w:tcPr>
        <w:tcBorders>
          <w:left w:val="single" w:sz="4" w:space="0" w:color="7F7F7F" w:themeColor="text1" w:themeTint="80"/>
          <w:right w:val="single" w:sz="4" w:space="0" w:color="7F7F7F" w:themeColor="text1" w:themeTint="80"/>
        </w:tcBorders>
      </w:tcPr>
    </w:tblStylePr>
    <w:tblStylePr w:type="band1Horz">
      <w:rPr>
        <w:rFonts w:ascii="Arial" w:hAnsi="Arial"/>
      </w:rPr>
      <w:tblPr/>
      <w:tcPr>
        <w:tcBorders>
          <w:top w:val="single" w:sz="4" w:space="0" w:color="7F7F7F" w:themeColor="text1" w:themeTint="80"/>
          <w:bottom w:val="single" w:sz="4" w:space="0" w:color="7F7F7F" w:themeColor="text1" w:themeTint="80"/>
        </w:tcBorders>
      </w:tcPr>
    </w:tblStylePr>
    <w:tblStylePr w:type="band2Horz">
      <w:rPr>
        <w:rFonts w:ascii="Arial" w:hAnsi="Arial"/>
        <w:b w:val="0"/>
      </w:rPr>
    </w:tblStylePr>
    <w:tblStylePr w:type="neCell">
      <w:rPr>
        <w:rFonts w:ascii="Arial" w:hAnsi="Arial"/>
      </w:rPr>
    </w:tblStylePr>
    <w:tblStylePr w:type="nwCell">
      <w:rPr>
        <w:rFonts w:ascii="Arial" w:hAnsi="Arial"/>
      </w:rPr>
    </w:tblStylePr>
    <w:tblStylePr w:type="seCell">
      <w:rPr>
        <w:rFonts w:ascii="Arial" w:hAnsi="Arial"/>
      </w:rPr>
    </w:tblStylePr>
    <w:tblStylePr w:type="swCell">
      <w:rPr>
        <w:rFonts w:ascii="Arial" w:hAnsi="Arial"/>
      </w:rPr>
    </w:tblStylePr>
  </w:style>
  <w:style w:type="paragraph" w:styleId="BalloonText">
    <w:name w:val="Balloon Text"/>
    <w:basedOn w:val="Normal"/>
    <w:link w:val="BalloonTextChar"/>
    <w:uiPriority w:val="99"/>
    <w:semiHidden/>
    <w:unhideWhenUsed/>
    <w:rsid w:val="00870692"/>
    <w:pPr>
      <w:spacing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870692"/>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3371B6"/>
    <w:rPr>
      <w:sz w:val="16"/>
      <w:szCs w:val="16"/>
    </w:rPr>
  </w:style>
  <w:style w:type="paragraph" w:styleId="CommentText">
    <w:name w:val="annotation text"/>
    <w:basedOn w:val="Normal"/>
    <w:link w:val="CommentTextChar"/>
    <w:uiPriority w:val="99"/>
    <w:semiHidden/>
    <w:unhideWhenUsed/>
    <w:rsid w:val="003371B6"/>
    <w:pPr>
      <w:spacing w:line="240" w:lineRule="auto"/>
    </w:pPr>
    <w:rPr>
      <w:szCs w:val="20"/>
    </w:rPr>
  </w:style>
  <w:style w:type="character" w:customStyle="1" w:styleId="CommentTextChar">
    <w:name w:val="Comment Text Char"/>
    <w:basedOn w:val="DefaultParagraphFont"/>
    <w:link w:val="CommentText"/>
    <w:uiPriority w:val="99"/>
    <w:semiHidden/>
    <w:rsid w:val="003371B6"/>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3371B6"/>
    <w:rPr>
      <w:b/>
      <w:bCs/>
    </w:rPr>
  </w:style>
  <w:style w:type="character" w:customStyle="1" w:styleId="CommentSubjectChar">
    <w:name w:val="Comment Subject Char"/>
    <w:basedOn w:val="CommentTextChar"/>
    <w:link w:val="CommentSubject"/>
    <w:uiPriority w:val="99"/>
    <w:semiHidden/>
    <w:rsid w:val="003371B6"/>
    <w:rPr>
      <w:rFonts w:ascii="Arial" w:hAnsi="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1711178">
      <w:bodyDiv w:val="1"/>
      <w:marLeft w:val="0"/>
      <w:marRight w:val="0"/>
      <w:marTop w:val="0"/>
      <w:marBottom w:val="0"/>
      <w:divBdr>
        <w:top w:val="none" w:sz="0" w:space="0" w:color="auto"/>
        <w:left w:val="none" w:sz="0" w:space="0" w:color="auto"/>
        <w:bottom w:val="none" w:sz="0" w:space="0" w:color="auto"/>
        <w:right w:val="none" w:sz="0" w:space="0" w:color="auto"/>
      </w:divBdr>
    </w:div>
    <w:div w:id="416290037">
      <w:bodyDiv w:val="1"/>
      <w:marLeft w:val="0"/>
      <w:marRight w:val="0"/>
      <w:marTop w:val="0"/>
      <w:marBottom w:val="0"/>
      <w:divBdr>
        <w:top w:val="none" w:sz="0" w:space="0" w:color="auto"/>
        <w:left w:val="none" w:sz="0" w:space="0" w:color="auto"/>
        <w:bottom w:val="none" w:sz="0" w:space="0" w:color="auto"/>
        <w:right w:val="none" w:sz="0" w:space="0" w:color="auto"/>
      </w:divBdr>
    </w:div>
    <w:div w:id="546724088">
      <w:bodyDiv w:val="1"/>
      <w:marLeft w:val="0"/>
      <w:marRight w:val="0"/>
      <w:marTop w:val="0"/>
      <w:marBottom w:val="0"/>
      <w:divBdr>
        <w:top w:val="none" w:sz="0" w:space="0" w:color="auto"/>
        <w:left w:val="none" w:sz="0" w:space="0" w:color="auto"/>
        <w:bottom w:val="none" w:sz="0" w:space="0" w:color="auto"/>
        <w:right w:val="none" w:sz="0" w:space="0" w:color="auto"/>
      </w:divBdr>
    </w:div>
    <w:div w:id="727188973">
      <w:bodyDiv w:val="1"/>
      <w:marLeft w:val="0"/>
      <w:marRight w:val="0"/>
      <w:marTop w:val="0"/>
      <w:marBottom w:val="0"/>
      <w:divBdr>
        <w:top w:val="none" w:sz="0" w:space="0" w:color="auto"/>
        <w:left w:val="none" w:sz="0" w:space="0" w:color="auto"/>
        <w:bottom w:val="none" w:sz="0" w:space="0" w:color="auto"/>
        <w:right w:val="none" w:sz="0" w:space="0" w:color="auto"/>
      </w:divBdr>
    </w:div>
    <w:div w:id="906304256">
      <w:bodyDiv w:val="1"/>
      <w:marLeft w:val="0"/>
      <w:marRight w:val="0"/>
      <w:marTop w:val="0"/>
      <w:marBottom w:val="0"/>
      <w:divBdr>
        <w:top w:val="none" w:sz="0" w:space="0" w:color="auto"/>
        <w:left w:val="none" w:sz="0" w:space="0" w:color="auto"/>
        <w:bottom w:val="none" w:sz="0" w:space="0" w:color="auto"/>
        <w:right w:val="none" w:sz="0" w:space="0" w:color="auto"/>
      </w:divBdr>
    </w:div>
    <w:div w:id="1108281304">
      <w:bodyDiv w:val="1"/>
      <w:marLeft w:val="0"/>
      <w:marRight w:val="0"/>
      <w:marTop w:val="0"/>
      <w:marBottom w:val="0"/>
      <w:divBdr>
        <w:top w:val="none" w:sz="0" w:space="0" w:color="auto"/>
        <w:left w:val="none" w:sz="0" w:space="0" w:color="auto"/>
        <w:bottom w:val="none" w:sz="0" w:space="0" w:color="auto"/>
        <w:right w:val="none" w:sz="0" w:space="0" w:color="auto"/>
      </w:divBdr>
    </w:div>
    <w:div w:id="1174953032">
      <w:bodyDiv w:val="1"/>
      <w:marLeft w:val="0"/>
      <w:marRight w:val="0"/>
      <w:marTop w:val="0"/>
      <w:marBottom w:val="0"/>
      <w:divBdr>
        <w:top w:val="none" w:sz="0" w:space="0" w:color="auto"/>
        <w:left w:val="none" w:sz="0" w:space="0" w:color="auto"/>
        <w:bottom w:val="none" w:sz="0" w:space="0" w:color="auto"/>
        <w:right w:val="none" w:sz="0" w:space="0" w:color="auto"/>
      </w:divBdr>
    </w:div>
    <w:div w:id="1224024682">
      <w:bodyDiv w:val="1"/>
      <w:marLeft w:val="0"/>
      <w:marRight w:val="0"/>
      <w:marTop w:val="0"/>
      <w:marBottom w:val="0"/>
      <w:divBdr>
        <w:top w:val="none" w:sz="0" w:space="0" w:color="auto"/>
        <w:left w:val="none" w:sz="0" w:space="0" w:color="auto"/>
        <w:bottom w:val="none" w:sz="0" w:space="0" w:color="auto"/>
        <w:right w:val="none" w:sz="0" w:space="0" w:color="auto"/>
      </w:divBdr>
    </w:div>
    <w:div w:id="1278483652">
      <w:bodyDiv w:val="1"/>
      <w:marLeft w:val="0"/>
      <w:marRight w:val="0"/>
      <w:marTop w:val="0"/>
      <w:marBottom w:val="0"/>
      <w:divBdr>
        <w:top w:val="none" w:sz="0" w:space="0" w:color="auto"/>
        <w:left w:val="none" w:sz="0" w:space="0" w:color="auto"/>
        <w:bottom w:val="none" w:sz="0" w:space="0" w:color="auto"/>
        <w:right w:val="none" w:sz="0" w:space="0" w:color="auto"/>
      </w:divBdr>
    </w:div>
    <w:div w:id="1321931687">
      <w:bodyDiv w:val="1"/>
      <w:marLeft w:val="0"/>
      <w:marRight w:val="0"/>
      <w:marTop w:val="0"/>
      <w:marBottom w:val="0"/>
      <w:divBdr>
        <w:top w:val="none" w:sz="0" w:space="0" w:color="auto"/>
        <w:left w:val="none" w:sz="0" w:space="0" w:color="auto"/>
        <w:bottom w:val="none" w:sz="0" w:space="0" w:color="auto"/>
        <w:right w:val="none" w:sz="0" w:space="0" w:color="auto"/>
      </w:divBdr>
    </w:div>
    <w:div w:id="1379158276">
      <w:bodyDiv w:val="1"/>
      <w:marLeft w:val="0"/>
      <w:marRight w:val="0"/>
      <w:marTop w:val="0"/>
      <w:marBottom w:val="0"/>
      <w:divBdr>
        <w:top w:val="none" w:sz="0" w:space="0" w:color="auto"/>
        <w:left w:val="none" w:sz="0" w:space="0" w:color="auto"/>
        <w:bottom w:val="none" w:sz="0" w:space="0" w:color="auto"/>
        <w:right w:val="none" w:sz="0" w:space="0" w:color="auto"/>
      </w:divBdr>
    </w:div>
    <w:div w:id="1594511452">
      <w:bodyDiv w:val="1"/>
      <w:marLeft w:val="0"/>
      <w:marRight w:val="0"/>
      <w:marTop w:val="0"/>
      <w:marBottom w:val="0"/>
      <w:divBdr>
        <w:top w:val="none" w:sz="0" w:space="0" w:color="auto"/>
        <w:left w:val="none" w:sz="0" w:space="0" w:color="auto"/>
        <w:bottom w:val="none" w:sz="0" w:space="0" w:color="auto"/>
        <w:right w:val="none" w:sz="0" w:space="0" w:color="auto"/>
      </w:divBdr>
    </w:div>
    <w:div w:id="1634797179">
      <w:bodyDiv w:val="1"/>
      <w:marLeft w:val="0"/>
      <w:marRight w:val="0"/>
      <w:marTop w:val="0"/>
      <w:marBottom w:val="0"/>
      <w:divBdr>
        <w:top w:val="none" w:sz="0" w:space="0" w:color="auto"/>
        <w:left w:val="none" w:sz="0" w:space="0" w:color="auto"/>
        <w:bottom w:val="none" w:sz="0" w:space="0" w:color="auto"/>
        <w:right w:val="none" w:sz="0" w:space="0" w:color="auto"/>
      </w:divBdr>
    </w:div>
    <w:div w:id="1638342903">
      <w:bodyDiv w:val="1"/>
      <w:marLeft w:val="0"/>
      <w:marRight w:val="0"/>
      <w:marTop w:val="0"/>
      <w:marBottom w:val="0"/>
      <w:divBdr>
        <w:top w:val="none" w:sz="0" w:space="0" w:color="auto"/>
        <w:left w:val="none" w:sz="0" w:space="0" w:color="auto"/>
        <w:bottom w:val="none" w:sz="0" w:space="0" w:color="auto"/>
        <w:right w:val="none" w:sz="0" w:space="0" w:color="auto"/>
      </w:divBdr>
    </w:div>
    <w:div w:id="1728602003">
      <w:bodyDiv w:val="1"/>
      <w:marLeft w:val="0"/>
      <w:marRight w:val="0"/>
      <w:marTop w:val="0"/>
      <w:marBottom w:val="0"/>
      <w:divBdr>
        <w:top w:val="none" w:sz="0" w:space="0" w:color="auto"/>
        <w:left w:val="none" w:sz="0" w:space="0" w:color="auto"/>
        <w:bottom w:val="none" w:sz="0" w:space="0" w:color="auto"/>
        <w:right w:val="none" w:sz="0" w:space="0" w:color="auto"/>
      </w:divBdr>
    </w:div>
    <w:div w:id="1816987360">
      <w:bodyDiv w:val="1"/>
      <w:marLeft w:val="0"/>
      <w:marRight w:val="0"/>
      <w:marTop w:val="0"/>
      <w:marBottom w:val="0"/>
      <w:divBdr>
        <w:top w:val="none" w:sz="0" w:space="0" w:color="auto"/>
        <w:left w:val="none" w:sz="0" w:space="0" w:color="auto"/>
        <w:bottom w:val="none" w:sz="0" w:space="0" w:color="auto"/>
        <w:right w:val="none" w:sz="0" w:space="0" w:color="auto"/>
      </w:divBdr>
    </w:div>
    <w:div w:id="2036925503">
      <w:bodyDiv w:val="1"/>
      <w:marLeft w:val="0"/>
      <w:marRight w:val="0"/>
      <w:marTop w:val="0"/>
      <w:marBottom w:val="0"/>
      <w:divBdr>
        <w:top w:val="none" w:sz="0" w:space="0" w:color="auto"/>
        <w:left w:val="none" w:sz="0" w:space="0" w:color="auto"/>
        <w:bottom w:val="none" w:sz="0" w:space="0" w:color="auto"/>
        <w:right w:val="none" w:sz="0" w:space="0" w:color="auto"/>
      </w:divBdr>
    </w:div>
    <w:div w:id="2127431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
<Relationship Id="rId13" Type="http://schemas.openxmlformats.org/officeDocument/2006/relationships/theme" Target="theme/theme1.xml"/>
<Relationship Id="rId3" Type="http://schemas.openxmlformats.org/officeDocument/2006/relationships/webSettings" Target="webSettings.xml"/>
<Relationship Id="rId12" Type="http://schemas.openxmlformats.org/officeDocument/2006/relationships/fontTable" Target="fontTable.xml"/>
<Relationship Id="rId2" Type="http://schemas.openxmlformats.org/officeDocument/2006/relationships/settings" Target="settings.xml"/>
<Relationship Id="rId16" Type="http://schemas.openxmlformats.org/officeDocument/2006/relationships/customXml" Target="../customXml/item3.xml"/>
<Relationship Id="rId1" Type="http://schemas.openxmlformats.org/officeDocument/2006/relationships/styles" Target="styles.xml"/>
<Relationship Id="rId11" Type="http://schemas.openxmlformats.org/officeDocument/2006/relationships/header" Target="header1.xml"/>
<Relationship Id="rId5" Type="http://schemas.openxmlformats.org/officeDocument/2006/relationships/endnotes" Target="endnotes.xml"/>
<Relationship Id="rId15" Type="http://schemas.openxmlformats.org/officeDocument/2006/relationships/customXml" Target="../customXml/item2.xml"/>
<Relationship Id="rId10" Type="http://schemas.openxmlformats.org/officeDocument/2006/relationships/hyperlink" Target="mailto:email@unicef.org" TargetMode="External"/>
<Relationship Id="rId4" Type="http://schemas.openxmlformats.org/officeDocument/2006/relationships/footnotes" Target="footnotes.xml"/>
<Relationship Id="rId9" Type="http://schemas.openxmlformats.org/officeDocument/2006/relationships/hyperlink" Target="mailto:email@unicef.org" TargetMode="External"/>
<Relationship Id="rId14" Type="http://schemas.openxmlformats.org/officeDocument/2006/relationships/customXml" Target="../customXml/item1.xml"/>
<Relationship Id="rId17" Type="http://schemas.openxmlformats.org/officeDocument/2006/relationships/image" Target="media/feb6cbc6a952343c2f3860911d1058d1226091f8.png"/>
<Relationship Id="rId18" Type="http://schemas.openxmlformats.org/officeDocument/2006/relationships/image" Target="media/e7ce2000a2b5850269a334b69d301f91029ba8c3.png"/>
</Relationships>

</file>

<file path=word/theme/theme1.xml><?xml version="1.0" encoding="utf-8"?>
<a:theme xmlns:a="http://schemas.openxmlformats.org/drawingml/2006/main" name="UNICEF">
  <a:themeElements>
    <a:clrScheme name="UNICEF - Secondary Colours">
      <a:dk1>
        <a:srgbClr val="000000"/>
      </a:dk1>
      <a:lt1>
        <a:srgbClr val="FFFFFF"/>
      </a:lt1>
      <a:dk2>
        <a:srgbClr val="00AEEF"/>
      </a:dk2>
      <a:lt2>
        <a:srgbClr val="FFFFFF"/>
      </a:lt2>
      <a:accent1>
        <a:srgbClr val="00833E"/>
      </a:accent1>
      <a:accent2>
        <a:srgbClr val="80BD41"/>
      </a:accent2>
      <a:accent3>
        <a:srgbClr val="777779"/>
      </a:accent3>
      <a:accent4>
        <a:srgbClr val="F26920"/>
      </a:accent4>
      <a:accent5>
        <a:srgbClr val="E2231A"/>
      </a:accent5>
      <a:accent6>
        <a:srgbClr val="6B1E74"/>
      </a:accent6>
      <a:hlink>
        <a:srgbClr val="374EA2"/>
      </a:hlink>
      <a:folHlink>
        <a:srgbClr val="961A49"/>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UNICEF" id="{DC7E091F-5C61-164F-91C7-2F09F2954CB8}" vid="{C41438D2-28A2-DE4E-ADFC-EB271601B2D1}"/>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81B8F6378C0249A9779BE581762C8C" ma:contentTypeVersion="18" ma:contentTypeDescription="Create a new document." ma:contentTypeScope="" ma:versionID="2ea1d326cf91f828c8fa6b19d7d4d9cc">
  <xsd:schema xmlns:xsd="http://www.w3.org/2001/XMLSchema" xmlns:xs="http://www.w3.org/2001/XMLSchema" xmlns:p="http://schemas.microsoft.com/office/2006/metadata/properties" xmlns:ns2="02b03631-6480-4d2f-a9f1-bef67e29037e" xmlns:ns3="a8a9630b-75d6-4764-bb6e-6771892ef157" xmlns:ns4="ca283e0b-db31-4043-a2ef-b80661bf084a" targetNamespace="http://schemas.microsoft.com/office/2006/metadata/properties" ma:root="true" ma:fieldsID="09c6a178e413e3a43b43ffb15a26f4f1" ns2:_="" ns3:_="" ns4:_="">
    <xsd:import namespace="02b03631-6480-4d2f-a9f1-bef67e29037e"/>
    <xsd:import namespace="a8a9630b-75d6-4764-bb6e-6771892ef157"/>
    <xsd:import namespace="ca283e0b-db31-4043-a2ef-b80661bf084a"/>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MediaLengthInSeconds" minOccurs="0"/>
                <xsd:element ref="ns2:lcf76f155ced4ddcb4097134ff3c332f" minOccurs="0"/>
                <xsd:element ref="ns4: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b03631-6480-4d2f-a9f1-bef67e2903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73f51738-d318-4883-9d64-4f0bd0ccc55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8a9630b-75d6-4764-bb6e-6771892ef157"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a283e0b-db31-4043-a2ef-b80661bf084a"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86ea8736-5878-4a17-b164-f11a1f2d044f}" ma:internalName="TaxCatchAll" ma:showField="CatchAllData" ma:web="a8a9630b-75d6-4764-bb6e-6771892ef15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a283e0b-db31-4043-a2ef-b80661bf084a" xsi:nil="true"/>
    <lcf76f155ced4ddcb4097134ff3c332f xmlns="02b03631-6480-4d2f-a9f1-bef67e29037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8AD983A-A5DD-4856-B0C9-5D481242CF25}"/>
</file>

<file path=customXml/itemProps2.xml><?xml version="1.0" encoding="utf-8"?>
<ds:datastoreItem xmlns:ds="http://schemas.openxmlformats.org/officeDocument/2006/customXml" ds:itemID="{1A0A20AE-B91B-46B6-81FA-1F13A71EDB6E}"/>
</file>

<file path=customXml/itemProps3.xml><?xml version="1.0" encoding="utf-8"?>
<ds:datastoreItem xmlns:ds="http://schemas.openxmlformats.org/officeDocument/2006/customXml" ds:itemID="{43CBF164-F95B-4AA8-8A5D-BC4E11EC7BC6}"/>
</file>

<file path=docProps/app.xml><?xml version="1.0" encoding="utf-8"?>
<Properties xmlns="http://schemas.openxmlformats.org/officeDocument/2006/extended-properties" xmlns:vt="http://schemas.openxmlformats.org/officeDocument/2006/docPropsVTypes">
  <Template>Normal.dotm</Template>
  <TotalTime>7</TotalTime>
  <Pages>2</Pages>
  <Words>648</Words>
  <Characters>3699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Jihye Kang</dc:creator>
  <cp:keywords/>
  <dc:description/>
  <cp:lastModifiedBy/>
  <cp:revision>5</cp:revision>
  <cp:lastPrinted>2019-10-09T14:47:00Z</cp:lastPrinted>
  <dcterms:created xsi:type="dcterms:W3CDTF">2019-12-03T15:50:00Z</dcterms:created>
  <dcterms:modified xsi:type="dcterms:W3CDTF">2026-04-18T12:29:22Z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0x0101001981B8F6378C0249A9779BE581762C8C</vt:lpwstr>
  </property>
</Properties>
</file>