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Malgun Gothic" w:cs="Malgun Gothic" w:eastAsia="Malgun Gothic" w:hAnsi="Malgun Gothic"/>
          <w:b/>
          <w:bCs/>
          <w:color w:val="1F3864"/>
          <w:sz w:val="56"/>
          <w:szCs w:val="56"/>
        </w:rPr>
        <w:t xml:space="preserve">HBT AM 전환 전략</w:t>
      </w:r>
    </w:p>
    <w:p>
      <w:pPr>
        <w:spacing w:before="0" w:after="160"/>
        <w:jc w:val="center"/>
      </w:pPr>
      <w:r>
        <w:rPr>
          <w:rFonts w:ascii="Malgun Gothic" w:cs="Malgun Gothic" w:eastAsia="Malgun Gothic" w:hAnsi="Malgun Gothic"/>
          <w:b/>
          <w:bCs/>
          <w:color w:val="2E75B6"/>
          <w:sz w:val="40"/>
          <w:szCs w:val="40"/>
        </w:rPr>
        <w:t xml:space="preserve">경영진 요약 보고서</w:t>
      </w:r>
    </w:p>
    <w:p>
      <w:pPr>
        <w:spacing w:before="0" w:after="480"/>
        <w:jc w:val="center"/>
      </w:pPr>
      <w:r>
        <w:rPr>
          <w:rFonts w:ascii="Arial" w:cs="Arial" w:eastAsia="Arial" w:hAnsi="Arial"/>
          <w:color w:val="595959"/>
          <w:sz w:val="28"/>
          <w:szCs w:val="28"/>
        </w:rPr>
        <w:t xml:space="preserve">Executive Summary</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8748"/>
      </w:tblGrid>
      <w:tr>
        <w:tc>
          <w:tcPr>
            <w:tcW w:type="dxa" w:w="8748"/>
            <w:tcBorders>
              <w:top w:val="single" w:color="2E75B6" w:sz="4"/>
              <w:left w:val="single" w:color="2E75B6" w:sz="4"/>
              <w:bottom w:val="single" w:color="2E75B6" w:sz="4"/>
              <w:right w:val="single" w:color="2E75B6" w:sz="4"/>
            </w:tcBorders>
            <w:shd w:fill="D6E4F0" w:val="clear"/>
            <w:tcMar>
              <w:top w:type="dxa" w:w="240"/>
              <w:left w:type="dxa" w:w="360"/>
              <w:bottom w:type="dxa" w:w="240"/>
              <w:right w:type="dxa" w:w="360"/>
            </w:tcMar>
          </w:tcPr>
          <w:p>
            <w:pPr>
              <w:spacing w:before="0" w:after="80"/>
              <w:jc w:val="center"/>
            </w:pPr>
            <w:r>
              <w:rPr>
                <w:rFonts w:ascii="Malgun Gothic" w:cs="Malgun Gothic" w:eastAsia="Malgun Gothic" w:hAnsi="Malgun Gothic"/>
                <w:b/>
                <w:bCs/>
                <w:color w:val="1F3864"/>
                <w:sz w:val="24"/>
                <w:szCs w:val="24"/>
              </w:rPr>
              <w:t xml:space="preserve">"AM 전환 없이 AI 투자 ROI는 0.</w:t>
            </w:r>
          </w:p>
          <w:p>
            <w:pPr>
              <w:spacing w:before="0" w:after="80"/>
              <w:jc w:val="center"/>
            </w:pPr>
            <w:r>
              <w:rPr>
                <w:rFonts w:ascii="Malgun Gothic" w:cs="Malgun Gothic" w:eastAsia="Malgun Gothic" w:hAnsi="Malgun Gothic"/>
                <w:b/>
                <w:bCs/>
                <w:color w:val="1F3864"/>
                <w:sz w:val="24"/>
                <w:szCs w:val="24"/>
              </w:rPr>
              <w:t xml:space="preserve">HBT는 지금 3년 403~835억을 투자해</w:t>
            </w:r>
          </w:p>
          <w:p>
            <w:pPr>
              <w:spacing w:before="0" w:after="80"/>
              <w:jc w:val="center"/>
            </w:pPr>
            <w:r>
              <w:rPr>
                <w:rFonts w:ascii="Malgun Gothic" w:cs="Malgun Gothic" w:eastAsia="Malgun Gothic" w:hAnsi="Malgun Gothic"/>
                <w:b/>
                <w:bCs/>
                <w:color w:val="1F3864"/>
                <w:sz w:val="24"/>
                <w:szCs w:val="24"/>
              </w:rPr>
              <w:t xml:space="preserve">연 1,117~1,600억의 기술부채·AI 기회비용을 상환하고,</w:t>
            </w:r>
          </w:p>
          <w:p>
            <w:pPr>
              <w:spacing w:before="0" w:after="0"/>
              <w:jc w:val="center"/>
            </w:pPr>
            <w:r>
              <w:rPr>
                <w:rFonts w:ascii="Malgun Gothic" w:cs="Malgun Gothic" w:eastAsia="Malgun Gothic" w:hAnsi="Malgun Gothic"/>
                <w:b/>
                <w:bCs/>
                <w:color w:val="1F3864"/>
                <w:sz w:val="24"/>
                <w:szCs w:val="24"/>
              </w:rPr>
              <w:t xml:space="preserve">24개 시스템을 Cluster 6/7(상위 40%) 궤도로 올린다."</w:t>
            </w:r>
          </w:p>
        </w:tc>
      </w:tr>
    </w:tbl>
    <w:p>
      <w:pPr>
        <w:spacing w:before="240" w:after="0"/>
      </w:pPr>
      <w:r>
        <w:t xml:space="preserve"/>
      </w:r>
    </w:p>
    <w:p>
      <w:pPr>
        <w:spacing w:before="0" w:after="480"/>
        <w:jc w:val="center"/>
      </w:pPr>
      <w:r>
        <w:rPr>
          <w:rFonts w:ascii="Malgun Gothic" w:cs="Malgun Gothic" w:eastAsia="Malgun Gothic" w:hAnsi="Malgun Gothic"/>
          <w:i/>
          <w:iCs/>
          <w:color w:val="595959"/>
          <w:sz w:val="18"/>
          <w:szCs w:val="18"/>
        </w:rPr>
        <w:t xml:space="preserve">DORA 2025 Figure 49  ·  행정안전부 2026.03.11  ·  근로복지공단 23배 단축 사례 기반</w:t>
      </w:r>
    </w:p>
    <w:p>
      <w:pPr>
        <w:spacing w:before="480" w:after="0"/>
      </w:pPr>
      <w:r>
        <w:t xml:space="preserve"/>
      </w:r>
    </w:p>
    <w:p>
      <w:pPr>
        <w:spacing w:before="0" w:after="80"/>
        <w:jc w:val="center"/>
      </w:pPr>
      <w:r>
        <w:rPr>
          <w:rFonts w:ascii="Malgun Gothic" w:cs="Malgun Gothic" w:eastAsia="Malgun Gothic" w:hAnsi="Malgun Gothic"/>
          <w:color w:val="595959"/>
          <w:sz w:val="18"/>
          <w:szCs w:val="18"/>
        </w:rPr>
        <w:t xml:space="preserve">문서 버전: v1.0  |  2026-04-18  |  검토 상태: APPROVED WITH CONDITIONS (지환 / 전략 감사역)</w:t>
      </w:r>
    </w:p>
    <w:p>
      <w:pPr>
        <w:spacing w:before="0" w:after="0"/>
        <w:jc w:val="center"/>
      </w:pPr>
      <w:r>
        <w:rPr>
          <w:rFonts w:ascii="Malgun Gothic" w:cs="Malgun Gothic" w:eastAsia="Malgun Gothic" w:hAnsi="Malgun Gothic"/>
          <w:color w:val="595959"/>
          <w:sz w:val="18"/>
          <w:szCs w:val="18"/>
        </w:rPr>
        <w:t xml:space="preserve">대상: HBT(하이브리지텔레콤) 경영진 (CEO · CFO · CIO · 사업부장)</w:t>
      </w:r>
    </w:p>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1장. Executive Summary — 5단 브리핑</w:t>
      </w:r>
    </w:p>
    <w:p>
      <w:pPr>
        <w:spacing w:before="80" w:after="0"/>
      </w:pPr>
      <w:r>
        <w:t xml:space="preserve"/>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548"/>
      </w:tblGrid>
      <w:tr>
        <w:trPr>
          <w:tblHeader/>
        </w:trPr>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구분</w:t>
            </w:r>
          </w:p>
        </w:tc>
        <w:tc>
          <w:tcPr>
            <w:tcW w:type="dxa" w:w="4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핵심 메시지</w:t>
            </w:r>
          </w:p>
        </w:tc>
        <w:tc>
          <w:tcPr>
            <w:tcW w:type="dxa" w:w="25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핵심 수치</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왜 </w:t>
            </w:r>
            <w:r>
              <w:rPr>
                <w:rFonts w:ascii="Malgun Gothic" w:cs="Malgun Gothic" w:eastAsia="Malgun Gothic" w:hAnsi="Malgun Gothic"/>
                <w:b w:val="false"/>
                <w:bCs w:val="false"/>
                <w:color w:val="000000"/>
                <w:sz w:val="18"/>
                <w:szCs w:val="18"/>
              </w:rPr>
              <w:t xml:space="preserve">WHY</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Lead Time 22주(글로벌 하위 2%) · IT 운영비 증가율(+7.3%)이 매출 증가율(+1.8%)의 4배 · AI 도구만 도입 시 ROI ≈ 0</w:t>
            </w:r>
          </w:p>
        </w:tc>
        <w:tc>
          <w:tcPr>
            <w:tcW w:type="dxa" w:w="2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4S+혁신 5개 동인 전부 AM 필수 판정</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얼마 </w:t>
            </w:r>
            <w:r>
              <w:rPr>
                <w:rFonts w:ascii="Malgun Gothic" w:cs="Malgun Gothic" w:eastAsia="Malgun Gothic" w:hAnsi="Malgun Gothic"/>
                <w:b w:val="false"/>
                <w:bCs w:val="false"/>
                <w:color w:val="000000"/>
                <w:sz w:val="18"/>
                <w:szCs w:val="18"/>
              </w:rPr>
              <w:t xml:space="preserve">BUDGET</w:t>
            </w:r>
          </w:p>
        </w:tc>
        <w:tc>
          <w:tcPr>
            <w:tcW w:type="dxa" w:w="4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3년 누적 투자 </w:t>
            </w:r>
            <w:r>
              <w:rPr>
                <w:rFonts w:ascii="Malgun Gothic" w:cs="Malgun Gothic" w:eastAsia="Malgun Gothic" w:hAnsi="Malgun Gothic"/>
                <w:b/>
                <w:bCs/>
                <w:color w:val="000000"/>
                <w:sz w:val="18"/>
                <w:szCs w:val="18"/>
              </w:rPr>
              <w:t xml:space="preserve">403~835억</w:t>
            </w:r>
            <w:r>
              <w:rPr>
                <w:rFonts w:ascii="Malgun Gothic" w:cs="Malgun Gothic" w:eastAsia="Malgun Gothic" w:hAnsi="Malgun Gothic"/>
                <w:b w:val="false"/>
                <w:bCs w:val="false"/>
                <w:color w:val="000000"/>
                <w:sz w:val="18"/>
                <w:szCs w:val="18"/>
              </w:rPr>
              <w:t xml:space="preserve">(Conservative/Base/Optimistic) · 기술부채 연 890~1,600억 상환 · AI ROI 잠금 해소 연 200~400억</w:t>
            </w:r>
          </w:p>
        </w:tc>
        <w:tc>
          <w:tcPr>
            <w:tcW w:type="dxa" w:w="2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BEP 1.8~4.2년 · 5년 ROI 498~593%</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언제 </w:t>
            </w:r>
            <w:r>
              <w:rPr>
                <w:rFonts w:ascii="Malgun Gothic" w:cs="Malgun Gothic" w:eastAsia="Malgun Gothic" w:hAnsi="Malgun Gothic"/>
                <w:b w:val="false"/>
                <w:bCs w:val="false"/>
                <w:color w:val="000000"/>
                <w:sz w:val="18"/>
                <w:szCs w:val="18"/>
              </w:rPr>
              <w:t xml:space="preserve">WHEN</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Phase 0~4, 30~42개월</w:t>
            </w:r>
            <w:r>
              <w:rPr>
                <w:rFonts w:ascii="Malgun Gothic" w:cs="Malgun Gothic" w:eastAsia="Malgun Gothic" w:hAnsi="Malgun Gothic"/>
                <w:b w:val="false"/>
                <w:bCs w:val="false"/>
                <w:color w:val="000000"/>
                <w:sz w:val="18"/>
                <w:szCs w:val="18"/>
              </w:rPr>
              <w:t xml:space="preserve"> · 파일럿 2개(DLR-PORTAL · PROD-CAT) · BILL-MF Critical Path 24~36개월</w:t>
            </w:r>
          </w:p>
        </w:tc>
        <w:tc>
          <w:tcPr>
            <w:tcW w:type="dxa" w:w="2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게이트 5개, DORA 5메트릭으로 GO/NO-GO</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어떻게 </w:t>
            </w:r>
            <w:r>
              <w:rPr>
                <w:rFonts w:ascii="Malgun Gothic" w:cs="Malgun Gothic" w:eastAsia="Malgun Gothic" w:hAnsi="Malgun Gothic"/>
                <w:b w:val="false"/>
                <w:bCs w:val="false"/>
                <w:color w:val="000000"/>
                <w:sz w:val="18"/>
                <w:szCs w:val="18"/>
              </w:rPr>
              <w:t xml:space="preserve">HOW</w:t>
            </w:r>
          </w:p>
        </w:tc>
        <w:tc>
          <w:tcPr>
            <w:tcW w:type="dxa" w:w="4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6R 상세(Rearch 6 + Rebuild 3 = 9개 AI 7역량 전체 활성화) · 5 회의체 · 6 가드레일 · AI 3-Bucket 정책 · 변화관리 Phase × 6축</w:t>
            </w:r>
          </w:p>
        </w:tc>
        <w:tc>
          <w:tcPr>
            <w:tcW w:type="dxa" w:w="2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8 Bounded Context, VSM 22주→1~7일</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위험 </w:t>
            </w:r>
            <w:r>
              <w:rPr>
                <w:rFonts w:ascii="Malgun Gothic" w:cs="Malgun Gothic" w:eastAsia="Malgun Gothic" w:hAnsi="Malgun Gothic"/>
                <w:b w:val="false"/>
                <w:bCs w:val="false"/>
                <w:color w:val="000000"/>
                <w:sz w:val="18"/>
                <w:szCs w:val="18"/>
              </w:rPr>
              <w:t xml:space="preserve">RISK</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Top 5 리스크(BILL-KT 의존 · AI Rework · 동시 Rearch · IDP SPOF · AI ROI 스폰서십) · Phase 1 가중치 32(최대) · 3-색 에스컬레이션</w:t>
            </w:r>
          </w:p>
        </w:tc>
        <w:tc>
          <w:tcPr>
            <w:tcW w:type="dxa" w:w="2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21개 리스크 매트릭스 · 월간 리뷰</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의사결정 요청 사항 (5건)</w:t>
      </w:r>
    </w:p>
    <w:p>
      <w:pPr>
        <w:pStyle w:val="ListParagraph"/>
        <w:numPr>
          <w:ilvl w:val="0"/>
          <w:numId w:val="2"/>
        </w:numPr>
        <w:spacing w:before="40" w:after="40"/>
      </w:pPr>
      <w:r>
        <w:rPr>
          <w:rFonts w:ascii="Malgun Gothic" w:cs="Malgun Gothic" w:eastAsia="Malgun Gothic" w:hAnsi="Malgun Gothic"/>
          <w:b/>
          <w:bCs/>
          <w:sz w:val="20"/>
          <w:szCs w:val="20"/>
        </w:rPr>
        <w:t xml:space="preserve">Phase 0 착수 승인</w:t>
      </w:r>
      <w:r>
        <w:rPr>
          <w:rFonts w:ascii="Malgun Gothic" w:cs="Malgun Gothic" w:eastAsia="Malgun Gothic" w:hAnsi="Malgun Gothic"/>
          <w:sz w:val="20"/>
          <w:szCs w:val="20"/>
        </w:rPr>
        <w:t xml:space="preserve"> Phase 0 착수 승인 (35~60억, 2026.05.01~2026.10.31)</w:t>
      </w:r>
    </w:p>
    <w:p>
      <w:pPr>
        <w:pStyle w:val="ListParagraph"/>
        <w:numPr>
          <w:ilvl w:val="0"/>
          <w:numId w:val="2"/>
        </w:numPr>
        <w:spacing w:before="40" w:after="40"/>
      </w:pPr>
      <w:r>
        <w:rPr>
          <w:rFonts w:ascii="Malgun Gothic" w:cs="Malgun Gothic" w:eastAsia="Malgun Gothic" w:hAnsi="Malgun Gothic"/>
          <w:b/>
          <w:bCs/>
          <w:sz w:val="20"/>
          <w:szCs w:val="20"/>
        </w:rPr>
        <w:t xml:space="preserve">Phase 1 자동 승인 조건 합의</w:t>
      </w:r>
      <w:r>
        <w:rPr>
          <w:rFonts w:ascii="Malgun Gothic" w:cs="Malgun Gothic" w:eastAsia="Malgun Gothic" w:hAnsi="Malgun Gothic"/>
          <w:sz w:val="20"/>
          <w:szCs w:val="20"/>
        </w:rPr>
        <w:t xml:space="preserve"> Phase 0 게이트 통과 시 Phase 1 자동 승인 조건 합의 (DORA 5메트릭 베이스라인 + 12 플랫폼 특성 완료)</w:t>
      </w:r>
    </w:p>
    <w:p>
      <w:pPr>
        <w:pStyle w:val="ListParagraph"/>
        <w:numPr>
          <w:ilvl w:val="0"/>
          <w:numId w:val="2"/>
        </w:numPr>
        <w:spacing w:before="40" w:after="40"/>
      </w:pPr>
      <w:r>
        <w:rPr>
          <w:rFonts w:ascii="Malgun Gothic" w:cs="Malgun Gothic" w:eastAsia="Malgun Gothic" w:hAnsi="Malgun Gothic"/>
          <w:b/>
          <w:bCs/>
          <w:sz w:val="20"/>
          <w:szCs w:val="20"/>
        </w:rPr>
        <w:t xml:space="preserve">CFO 공동 스폰서십 확정</w:t>
      </w:r>
      <w:r>
        <w:rPr>
          <w:rFonts w:ascii="Malgun Gothic" w:cs="Malgun Gothic" w:eastAsia="Malgun Gothic" w:hAnsi="Malgun Gothic"/>
          <w:sz w:val="20"/>
          <w:szCs w:val="20"/>
        </w:rPr>
        <w:t xml:space="preserve"> CFO 공동 스폰서십 확정 (TCO·BEP 추적 주관)</w:t>
      </w:r>
    </w:p>
    <w:p>
      <w:pPr>
        <w:pStyle w:val="ListParagraph"/>
        <w:numPr>
          <w:ilvl w:val="0"/>
          <w:numId w:val="2"/>
        </w:numPr>
        <w:spacing w:before="40" w:after="40"/>
      </w:pPr>
      <w:r>
        <w:rPr>
          <w:rFonts w:ascii="Malgun Gothic" w:cs="Malgun Gothic" w:eastAsia="Malgun Gothic" w:hAnsi="Malgun Gothic"/>
          <w:b/>
          <w:bCs/>
          <w:sz w:val="20"/>
          <w:szCs w:val="20"/>
        </w:rPr>
        <w:t xml:space="preserve">거버넌스 위원회 발족</w:t>
      </w:r>
      <w:r>
        <w:rPr>
          <w:rFonts w:ascii="Malgun Gothic" w:cs="Malgun Gothic" w:eastAsia="Malgun Gothic" w:hAnsi="Malgun Gothic"/>
          <w:sz w:val="20"/>
          <w:szCs w:val="20"/>
        </w:rPr>
        <w:t xml:space="preserve"> 리스크·거버넌스 위원회 2026.05.15 이전 발족</w:t>
      </w:r>
    </w:p>
    <w:p>
      <w:pPr>
        <w:pStyle w:val="ListParagraph"/>
        <w:numPr>
          <w:ilvl w:val="0"/>
          <w:numId w:val="2"/>
        </w:numPr>
        <w:spacing w:before="40" w:after="40"/>
      </w:pPr>
      <w:r>
        <w:rPr>
          <w:rFonts w:ascii="Malgun Gothic" w:cs="Malgun Gothic" w:eastAsia="Malgun Gothic" w:hAnsi="Malgun Gothic"/>
          <w:b/>
          <w:bCs/>
          <w:sz w:val="20"/>
          <w:szCs w:val="20"/>
        </w:rPr>
        <w:t xml:space="preserve">변화관리 예산 신설</w:t>
      </w:r>
      <w:r>
        <w:rPr>
          <w:rFonts w:ascii="Malgun Gothic" w:cs="Malgun Gothic" w:eastAsia="Malgun Gothic" w:hAnsi="Malgun Gothic"/>
          <w:sz w:val="20"/>
          <w:szCs w:val="20"/>
        </w:rPr>
        <w:t xml:space="preserve"> 변화관리 예산 별도 계정 신설 (전체의 8~12%, 32~100억)</w:t>
      </w:r>
    </w:p>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2~3장. 왜(WHY) — AM 전환의 불가피성</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2장. 5개 동인 — 구조적 위기 진단</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200"/>
        <w:gridCol w:w="2100"/>
        <w:gridCol w:w="2848"/>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동인</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HBT 현황</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DORA 2025 포지션</w:t>
            </w:r>
          </w:p>
        </w:tc>
        <w:tc>
          <w:tcPr>
            <w:tcW w:type="dxa" w:w="28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AM 필요성</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Speedy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Lead Time </w:t>
            </w:r>
            <w:r>
              <w:rPr>
                <w:rFonts w:ascii="Malgun Gothic" w:cs="Malgun Gothic" w:eastAsia="Malgun Gothic" w:hAnsi="Malgun Gothic"/>
                <w:b/>
                <w:bCs/>
                <w:color w:val="000000"/>
                <w:sz w:val="18"/>
                <w:szCs w:val="18"/>
              </w:rPr>
              <w:t xml:space="preserve">평균 22주</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글로벌 하위 2% (98%가 1개월 이내)</w:t>
            </w:r>
          </w:p>
        </w:tc>
        <w:tc>
          <w:tcPr>
            <w:tcW w:type="dxa" w:w="28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필수</w:t>
            </w:r>
            <w:r>
              <w:rPr>
                <w:rFonts w:ascii="Malgun Gothic" w:cs="Malgun Gothic" w:eastAsia="Malgun Gothic" w:hAnsi="Malgun Gothic"/>
                <w:b w:val="false"/>
                <w:bCs w:val="false"/>
                <w:color w:val="000000"/>
                <w:sz w:val="18"/>
                <w:szCs w:val="18"/>
              </w:rPr>
              <w:t xml:space="preserve"> — 경쟁사 대비 5~10배 느림</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Service Always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장애 복구 </w:t>
            </w:r>
            <w:r>
              <w:rPr>
                <w:rFonts w:ascii="Malgun Gothic" w:cs="Malgun Gothic" w:eastAsia="Malgun Gothic" w:hAnsi="Malgun Gothic"/>
                <w:b/>
                <w:bCs/>
                <w:color w:val="000000"/>
                <w:sz w:val="18"/>
                <w:szCs w:val="18"/>
              </w:rPr>
              <w:t xml:space="preserve">4.8시간</w:t>
            </w:r>
            <w:r>
              <w:rPr>
                <w:rFonts w:ascii="Malgun Gothic" w:cs="Malgun Gothic" w:eastAsia="Malgun Gothic" w:hAnsi="Malgun Gothic"/>
                <w:b w:val="false"/>
                <w:bCs w:val="false"/>
                <w:color w:val="000000"/>
                <w:sz w:val="18"/>
                <w:szCs w:val="18"/>
              </w:rPr>
              <w:t xml:space="preserve">, CFR </w:t>
            </w:r>
            <w:r>
              <w:rPr>
                <w:rFonts w:ascii="Malgun Gothic" w:cs="Malgun Gothic" w:eastAsia="Malgun Gothic" w:hAnsi="Malgun Gothic"/>
                <w:b/>
                <w:bCs/>
                <w:color w:val="000000"/>
                <w:sz w:val="18"/>
                <w:szCs w:val="18"/>
              </w:rPr>
              <w:t xml:space="preserve">24%</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하위 40%, CFR 상위 62% 구간</w:t>
            </w:r>
          </w:p>
        </w:tc>
        <w:tc>
          <w:tcPr>
            <w:tcW w:type="dxa" w:w="28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필수</w:t>
            </w:r>
            <w:r>
              <w:rPr>
                <w:rFonts w:ascii="Malgun Gothic" w:cs="Malgun Gothic" w:eastAsia="Malgun Gothic" w:hAnsi="Malgun Gothic"/>
                <w:b w:val="false"/>
                <w:bCs w:val="false"/>
                <w:color w:val="000000"/>
                <w:sz w:val="18"/>
                <w:szCs w:val="18"/>
              </w:rPr>
              <w:t xml:space="preserve"> — SLA 위반 연 12건</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Save Cost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IT 운영비 </w:t>
            </w:r>
            <w:r>
              <w:rPr>
                <w:rFonts w:ascii="Malgun Gothic" w:cs="Malgun Gothic" w:eastAsia="Malgun Gothic" w:hAnsi="Malgun Gothic"/>
                <w:b/>
                <w:bCs/>
                <w:color w:val="000000"/>
                <w:sz w:val="18"/>
                <w:szCs w:val="18"/>
              </w:rPr>
              <w:t xml:space="preserve">+7.3%</w:t>
            </w:r>
            <w:r>
              <w:rPr>
                <w:rFonts w:ascii="Malgun Gothic" w:cs="Malgun Gothic" w:eastAsia="Malgun Gothic" w:hAnsi="Malgun Gothic"/>
                <w:b w:val="false"/>
                <w:bCs w:val="false"/>
                <w:color w:val="000000"/>
                <w:sz w:val="18"/>
                <w:szCs w:val="18"/>
              </w:rPr>
              <w:t xml:space="preserve"> vs 매출 </w:t>
            </w:r>
            <w:r>
              <w:rPr>
                <w:rFonts w:ascii="Malgun Gothic" w:cs="Malgun Gothic" w:eastAsia="Malgun Gothic" w:hAnsi="Malgun Gothic"/>
                <w:b/>
                <w:bCs/>
                <w:color w:val="000000"/>
                <w:sz w:val="18"/>
                <w:szCs w:val="18"/>
              </w:rPr>
              <w:t xml:space="preserve">+1.8%</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4배 격차 지속 시 3년 후 영업이익률 -2.1%p</w:t>
            </w:r>
          </w:p>
        </w:tc>
        <w:tc>
          <w:tcPr>
            <w:tcW w:type="dxa" w:w="28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필수</w:t>
            </w:r>
            <w:r>
              <w:rPr>
                <w:rFonts w:ascii="Malgun Gothic" w:cs="Malgun Gothic" w:eastAsia="Malgun Gothic" w:hAnsi="Malgun Gothic"/>
                <w:b w:val="false"/>
                <w:bCs w:val="false"/>
                <w:color w:val="000000"/>
                <w:sz w:val="18"/>
                <w:szCs w:val="18"/>
              </w:rPr>
              <w:t xml:space="preserve"> — 비용 구조 붕괴 임박</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Security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CVE 미패치 </w:t>
            </w:r>
            <w:r>
              <w:rPr>
                <w:rFonts w:ascii="Malgun Gothic" w:cs="Malgun Gothic" w:eastAsia="Malgun Gothic" w:hAnsi="Malgun Gothic"/>
                <w:b/>
                <w:bCs/>
                <w:color w:val="000000"/>
                <w:sz w:val="18"/>
                <w:szCs w:val="18"/>
              </w:rPr>
              <w:t xml:space="preserve">137건</w:t>
            </w:r>
            <w:r>
              <w:rPr>
                <w:rFonts w:ascii="Malgun Gothic" w:cs="Malgun Gothic" w:eastAsia="Malgun Gothic" w:hAnsi="Malgun Gothic"/>
                <w:b w:val="false"/>
                <w:bCs w:val="false"/>
                <w:color w:val="000000"/>
                <w:sz w:val="18"/>
                <w:szCs w:val="18"/>
              </w:rPr>
              <w:t xml:space="preserve">, SAST </w:t>
            </w:r>
            <w:r>
              <w:rPr>
                <w:rFonts w:ascii="Malgun Gothic" w:cs="Malgun Gothic" w:eastAsia="Malgun Gothic" w:hAnsi="Malgun Gothic"/>
                <w:b/>
                <w:bCs/>
                <w:color w:val="000000"/>
                <w:sz w:val="18"/>
                <w:szCs w:val="18"/>
              </w:rPr>
              <w:t xml:space="preserve">0%</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금감원 2026 제재 대상 후보</w:t>
            </w:r>
          </w:p>
        </w:tc>
        <w:tc>
          <w:tcPr>
            <w:tcW w:type="dxa" w:w="28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필수</w:t>
            </w:r>
            <w:r>
              <w:rPr>
                <w:rFonts w:ascii="Malgun Gothic" w:cs="Malgun Gothic" w:eastAsia="Malgun Gothic" w:hAnsi="Malgun Gothic"/>
                <w:b w:val="false"/>
                <w:bCs w:val="false"/>
                <w:color w:val="000000"/>
                <w:sz w:val="18"/>
                <w:szCs w:val="18"/>
              </w:rPr>
              <w:t xml:space="preserve"> — 규제 리스크 정량화</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혁신(AI)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AI Copilot 파일럿 </w:t>
            </w:r>
            <w:r>
              <w:rPr>
                <w:rFonts w:ascii="Malgun Gothic" w:cs="Malgun Gothic" w:eastAsia="Malgun Gothic" w:hAnsi="Malgun Gothic"/>
                <w:b/>
                <w:bCs/>
                <w:color w:val="000000"/>
                <w:sz w:val="18"/>
                <w:szCs w:val="18"/>
              </w:rPr>
              <w:t xml:space="preserve">ROI 측정 불가</w:t>
            </w:r>
            <w:r>
              <w:rPr>
                <w:rFonts w:ascii="Malgun Gothic" w:cs="Malgun Gothic" w:eastAsia="Malgun Gothic" w:hAnsi="Malgun Gothic"/>
                <w:b w:val="false"/>
                <w:bCs w:val="false"/>
                <w:color w:val="000000"/>
                <w:sz w:val="18"/>
                <w:szCs w:val="18"/>
              </w:rPr>
              <w:t xml:space="preserve"> (2025)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Figure 49: 플랫폼 품질 없이 ROI ≈ 0</w:t>
            </w:r>
          </w:p>
        </w:tc>
        <w:tc>
          <w:tcPr>
            <w:tcW w:type="dxa" w:w="28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필수</w:t>
            </w:r>
            <w:r>
              <w:rPr>
                <w:rFonts w:ascii="Malgun Gothic" w:cs="Malgun Gothic" w:eastAsia="Malgun Gothic" w:hAnsi="Malgun Gothic"/>
                <w:b w:val="false"/>
                <w:bCs w:val="false"/>
                <w:color w:val="000000"/>
                <w:sz w:val="18"/>
                <w:szCs w:val="18"/>
              </w:rPr>
              <w:t xml:space="preserve"> — AI 투자 자체가 좌초</w:t>
            </w:r>
          </w:p>
        </w:tc>
      </w:tr>
    </w:tbl>
    <w:p>
      <w:pPr>
        <w:spacing w:before="80" w:after="0"/>
      </w:pPr>
      <w:r>
        <w:t xml:space="preserve"/>
      </w:r>
    </w:p>
    <w:p>
      <w:pPr>
        <w:pBdr>
          <w:left w:val="thick" w:color="2E75B6" w:sz="12" w:space="4"/>
        </w:pBdr>
        <w:shd w:fill="D6E4F0" w:val="clear"/>
        <w:spacing w:before="80" w:after="80"/>
        <w:ind w:left="360"/>
      </w:pPr>
      <w:r>
        <w:rPr>
          <w:rFonts w:ascii="Malgun Gothic" w:cs="Malgun Gothic" w:eastAsia="Malgun Gothic" w:hAnsi="Malgun Gothic"/>
          <w:i/>
          <w:iCs/>
          <w:color w:val="1F3864"/>
          <w:sz w:val="20"/>
          <w:szCs w:val="20"/>
        </w:rPr>
        <w:t xml:space="preserve">결론: 5개 동인 모두 "AM을 해야 한다 / 안 해야 한다"가 아니라 "얼마나 빨리 해야 하는가"의 문제.</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3장. 3가지 결정 근거 + DORA 핵심 인용</w:t>
      </w:r>
    </w:p>
    <w:p>
      <w:pPr>
        <w:pStyle w:val="Heading3"/>
        <w:spacing w:before="160" w:after="80"/>
      </w:pPr>
      <w:r>
        <w:rPr>
          <w:rFonts w:ascii="Malgun Gothic" w:cs="Malgun Gothic" w:eastAsia="Malgun Gothic" w:hAnsi="Malgun Gothic"/>
          <w:b/>
          <w:bCs/>
          <w:color w:val="1B6CA8"/>
          <w:sz w:val="22"/>
          <w:szCs w:val="22"/>
        </w:rPr>
        <w:t xml:space="preserve">① DORA 2025 Figure 49 (4,997명 조사)</w:t>
      </w:r>
    </w:p>
    <w:p>
      <w:pPr>
        <w:pBdr>
          <w:left w:val="thick" w:color="BF8F00" w:sz="12" w:space="4"/>
        </w:pBdr>
        <w:shd w:fill="FFF2CC" w:val="clear"/>
        <w:spacing w:before="80" w:after="80"/>
        <w:ind w:left="360"/>
      </w:pPr>
      <w:r>
        <w:rPr>
          <w:rFonts w:ascii="Malgun Gothic" w:cs="Malgun Gothic" w:eastAsia="Malgun Gothic" w:hAnsi="Malgun Gothic"/>
          <w:i/>
          <w:iCs/>
          <w:color w:val="1F3864"/>
          <w:sz w:val="20"/>
          <w:szCs w:val="20"/>
        </w:rPr>
        <w:t xml:space="preserve">"An investment in AI without a corresponding investment in high-quality platforms is unlikely to yield significant returns at the organizational level." — DORA 2025 Platform Engineering Chapter</w:t>
      </w:r>
    </w:p>
    <w:p>
      <w:pPr>
        <w:spacing w:before="80" w:after="60"/>
        <w:jc w:val="left"/>
      </w:pPr>
      <w:r>
        <w:rPr>
          <w:rFonts w:ascii="Malgun Gothic" w:cs="Malgun Gothic" w:eastAsia="Malgun Gothic" w:hAnsi="Malgun Gothic"/>
          <w:b w:val="false"/>
          <w:bCs w:val="false"/>
          <w:i w:val="false"/>
          <w:iCs w:val="false"/>
          <w:color w:val="000000"/>
          <w:sz w:val="20"/>
          <w:szCs w:val="20"/>
        </w:rPr>
        <w:t xml:space="preserve">HBT 2025 AI Copilot 파일럿 결과(ROI 측정 불가)는 </w:t>
      </w:r>
      <w:r>
        <w:rPr>
          <w:rFonts w:ascii="Malgun Gothic" w:cs="Malgun Gothic" w:eastAsia="Malgun Gothic" w:hAnsi="Malgun Gothic"/>
          <w:b/>
          <w:bCs/>
          <w:i w:val="false"/>
          <w:iCs w:val="false"/>
          <w:color w:val="000000"/>
          <w:sz w:val="20"/>
          <w:szCs w:val="20"/>
        </w:rPr>
        <w:t xml:space="preserve">예측된 결과</w:t>
      </w:r>
      <w:r>
        <w:rPr>
          <w:rFonts w:ascii="Malgun Gothic" w:cs="Malgun Gothic" w:eastAsia="Malgun Gothic" w:hAnsi="Malgun Gothic"/>
          <w:b w:val="false"/>
          <w:bCs w:val="false"/>
          <w:i w:val="false"/>
          <w:iCs w:val="false"/>
          <w:color w:val="000000"/>
          <w:sz w:val="20"/>
          <w:szCs w:val="20"/>
        </w:rPr>
        <w:t xml:space="preserve">임. AM = AI ROI의 전제조건.</w:t>
      </w:r>
    </w:p>
    <w:p>
      <w:pPr>
        <w:pStyle w:val="Heading3"/>
        <w:spacing w:before="160" w:after="80"/>
      </w:pPr>
      <w:r>
        <w:rPr>
          <w:rFonts w:ascii="Malgun Gothic" w:cs="Malgun Gothic" w:eastAsia="Malgun Gothic" w:hAnsi="Malgun Gothic"/>
          <w:b/>
          <w:bCs/>
          <w:color w:val="1B6CA8"/>
          <w:sz w:val="22"/>
          <w:szCs w:val="22"/>
        </w:rPr>
        <w:t xml:space="preserve">② 행정안전부 2026.03.11 외부 검증</w:t>
      </w:r>
    </w:p>
    <w:p>
      <w:pPr>
        <w:pStyle w:val="ListParagraph"/>
        <w:numPr>
          <w:ilvl w:val="0"/>
          <w:numId w:val="3"/>
        </w:numPr>
        <w:spacing w:before="40" w:after="40"/>
      </w:pPr>
      <w:r>
        <w:rPr>
          <w:rFonts w:ascii="Malgun Gothic" w:cs="Malgun Gothic" w:eastAsia="Malgun Gothic" w:hAnsi="Malgun Gothic"/>
          <w:sz w:val="20"/>
          <w:szCs w:val="20"/>
        </w:rPr>
        <w:t xml:space="preserve">7년 누적 TCO 18.4% 절감 (HBT Base 7~10% × 7년 환산 ≈ 17~20%, 일치)</w:t>
      </w:r>
    </w:p>
    <w:p>
      <w:pPr>
        <w:pStyle w:val="ListParagraph"/>
        <w:numPr>
          <w:ilvl w:val="0"/>
          <w:numId w:val="3"/>
        </w:numPr>
        <w:spacing w:before="40" w:after="40"/>
      </w:pPr>
      <w:r>
        <w:rPr>
          <w:rFonts w:ascii="Malgun Gothic" w:cs="Malgun Gothic" w:eastAsia="Malgun Gothic" w:hAnsi="Malgun Gothic"/>
          <w:sz w:val="20"/>
          <w:szCs w:val="20"/>
        </w:rPr>
        <w:t xml:space="preserve">장애율 81% 감소 — HBT SLA 위약금 430~1,140억 → 0~15억 (98~99%)</w:t>
      </w:r>
    </w:p>
    <w:p>
      <w:pPr>
        <w:pStyle w:val="ListParagraph"/>
        <w:numPr>
          <w:ilvl w:val="0"/>
          <w:numId w:val="3"/>
        </w:numPr>
        <w:spacing w:before="40" w:after="40"/>
      </w:pPr>
      <w:r>
        <w:rPr>
          <w:rFonts w:ascii="Malgun Gothic" w:cs="Malgun Gothic" w:eastAsia="Malgun Gothic" w:hAnsi="Malgun Gothic"/>
          <w:sz w:val="20"/>
          <w:szCs w:val="20"/>
        </w:rPr>
        <w:t xml:space="preserve">배포 속도 114% 향상 — HBT Lead Time 22주→1~7일 = 2,100~15,400% 향상</w:t>
      </w:r>
    </w:p>
    <w:p>
      <w:pPr>
        <w:pStyle w:val="Heading3"/>
        <w:spacing w:before="160" w:after="80"/>
      </w:pPr>
      <w:r>
        <w:rPr>
          <w:rFonts w:ascii="Malgun Gothic" w:cs="Malgun Gothic" w:eastAsia="Malgun Gothic" w:hAnsi="Malgun Gothic"/>
          <w:b/>
          <w:bCs/>
          <w:color w:val="1B6CA8"/>
          <w:sz w:val="22"/>
          <w:szCs w:val="22"/>
        </w:rPr>
        <w:t xml:space="preserve">③ 근로복지공단 사례</w:t>
      </w:r>
    </w:p>
    <w:p>
      <w:pPr>
        <w:pStyle w:val="ListParagraph"/>
        <w:numPr>
          <w:ilvl w:val="0"/>
          <w:numId w:val="3"/>
        </w:numPr>
        <w:spacing w:before="40" w:after="40"/>
      </w:pPr>
      <w:r>
        <w:rPr>
          <w:rFonts w:ascii="Malgun Gothic" w:cs="Malgun Gothic" w:eastAsia="Malgun Gothic" w:hAnsi="Malgun Gothic"/>
          <w:sz w:val="20"/>
          <w:szCs w:val="20"/>
        </w:rPr>
        <w:t xml:space="preserve">Lead Time 23배 단축 (응답시간 4.44초 → 0.19초)</w:t>
      </w:r>
    </w:p>
    <w:p>
      <w:pPr>
        <w:pStyle w:val="ListParagraph"/>
        <w:numPr>
          <w:ilvl w:val="0"/>
          <w:numId w:val="3"/>
        </w:numPr>
        <w:spacing w:before="40" w:after="40"/>
      </w:pPr>
      <w:r>
        <w:rPr>
          <w:rFonts w:ascii="Malgun Gothic" w:cs="Malgun Gothic" w:eastAsia="Malgun Gothic" w:hAnsi="Malgun Gothic"/>
          <w:sz w:val="20"/>
          <w:szCs w:val="20"/>
        </w:rPr>
        <w:t xml:space="preserve">HBT 22주 → 7일 = 22배 단축 목표와 일치</w:t>
      </w:r>
    </w:p>
    <w:p>
      <w:pPr>
        <w:spacing w:before="80" w:after="0"/>
      </w:pPr>
      <w:r>
        <w:t xml:space="preserve"/>
      </w:r>
    </w:p>
    <w:p>
      <w:pPr>
        <w:pBdr>
          <w:left w:val="thick" w:color="C00000" w:sz="12" w:space="4"/>
        </w:pBdr>
        <w:shd w:fill="FFE0E0" w:val="clear"/>
        <w:spacing w:before="80" w:after="80"/>
        <w:ind w:left="360"/>
      </w:pPr>
      <w:r>
        <w:rPr>
          <w:rFonts w:ascii="Malgun Gothic" w:cs="Malgun Gothic" w:eastAsia="Malgun Gothic" w:hAnsi="Malgun Gothic"/>
          <w:i/>
          <w:iCs/>
          <w:color w:val="1F3864"/>
          <w:sz w:val="20"/>
          <w:szCs w:val="20"/>
        </w:rPr>
        <w:t xml:space="preserve">연기 비용 역설: AM을 1년 늦출 때마다 기술부채 연 +10~15% 누증 → 1년 지연 = 178~240억 손실(Base). "연기 비용 &gt; 투자 비용"이 2026년부터 영구 성립.</w:t>
      </w:r>
    </w:p>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4~6장. 얼마(TCO/BEP) — 3년 투자 규모와 회수</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4장. 3년 총투자 — 3 시나리오</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900"/>
        <w:gridCol w:w="1000"/>
        <w:gridCol w:w="900"/>
        <w:gridCol w:w="90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시나리오</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3년 투자 총액</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0</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1</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2</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3</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4</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Conservative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402.7억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35억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58억</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142억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112억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55.7억</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Base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619.6억</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47.5억</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89억</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218.5억</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172.6억</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92억</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Optimistic</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835.4억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60억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120억</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295억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233억</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127.4억</w:t>
            </w:r>
          </w:p>
        </w:tc>
      </w:tr>
    </w:tbl>
    <w:p>
      <w:pPr>
        <w:spacing w:before="80" w:after="0"/>
      </w:pPr>
      <w:r>
        <w:t xml:space="preserve"/>
      </w:r>
    </w:p>
    <w:p>
      <w:pPr>
        <w:spacing w:before="40" w:after="40"/>
        <w:ind w:left="240"/>
      </w:pPr>
      <w:r>
        <w:rPr>
          <w:rFonts w:ascii="Malgun Gothic" w:cs="Malgun Gothic" w:eastAsia="Malgun Gothic" w:hAnsi="Malgun Gothic"/>
          <w:i/>
          <w:iCs/>
          <w:color w:val="595959"/>
          <w:sz w:val="18"/>
          <w:szCs w:val="18"/>
        </w:rPr>
        <w:t xml:space="preserve">경영진 활용 원칙: Base를 플래닝 기준, Conservative를 예산 확정 기준, Optimistic을 성과 압박 기준으로 사용 권장.</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5장. BEP · 5년 ROI</w:t>
      </w:r>
    </w:p>
    <w:tbl>
      <w:tblPr>
        <w:tblW w:type="dxa" w:w="774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1400"/>
        <w:gridCol w:w="1348"/>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시나리오</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BEP</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5년 누적 효익</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5년 투자</w:t>
            </w:r>
          </w:p>
        </w:tc>
        <w:tc>
          <w:tcPr>
            <w:tcW w:type="dxa" w:w="13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ROI</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Conservative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4.2년</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2,006억</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403억</w:t>
            </w:r>
          </w:p>
        </w:tc>
        <w:tc>
          <w:tcPr>
            <w:tcW w:type="dxa" w:w="13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498%</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Base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2.9년</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2,854억</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620억</w:t>
            </w:r>
          </w:p>
        </w:tc>
        <w:tc>
          <w:tcPr>
            <w:tcW w:type="dxa" w:w="13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460%</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Optimistic</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1.8년</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4,112억</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835억</w:t>
            </w:r>
          </w:p>
        </w:tc>
        <w:tc>
          <w:tcPr>
            <w:tcW w:type="dxa" w:w="13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593%</w:t>
            </w:r>
          </w:p>
        </w:tc>
      </w:tr>
    </w:tbl>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6장. To-Be TCO 절감 효과</w:t>
      </w:r>
    </w:p>
    <w:tbl>
      <w:tblPr>
        <w:tblW w:type="dxa" w:w="774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148"/>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항목</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As-Is (연간)</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To-Be (연간)</w:t>
            </w:r>
          </w:p>
        </w:tc>
        <w:tc>
          <w:tcPr>
            <w:tcW w:type="dxa" w:w="11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절감률</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서버·스토리지 (온프레미스)</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280억</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45~60억</w:t>
            </w:r>
          </w:p>
        </w:tc>
        <w:tc>
          <w:tcPr>
            <w:tcW w:type="dxa" w:w="1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-78~-83%</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라이선스 (Oracle·WebLogic 등)</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180억</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70~95억</w:t>
            </w:r>
          </w:p>
        </w:tc>
        <w:tc>
          <w:tcPr>
            <w:tcW w:type="dxa" w:w="1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-47~-61%</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운영 인건비</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620억</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220~290억</w:t>
            </w:r>
          </w:p>
        </w:tc>
        <w:tc>
          <w:tcPr>
            <w:tcW w:type="dxa" w:w="1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-53~-64%</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장애·SLA 위약금</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430~1,140억</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0~15억</w:t>
            </w:r>
          </w:p>
        </w:tc>
        <w:tc>
          <w:tcPr>
            <w:tcW w:type="dxa" w:w="1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-99%</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총계</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1,510~2,220억</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393~512억</w:t>
            </w:r>
          </w:p>
        </w:tc>
        <w:tc>
          <w:tcPr>
            <w:tcW w:type="dxa" w:w="1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-74~-77%</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AI ROI 잠금 해소 추가 효익</w:t>
      </w:r>
    </w:p>
    <w:tbl>
      <w:tblPr>
        <w:tblW w:type="dxa" w:w="774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48"/>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시나리오</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AI 활용 가능 시스템 수</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연 추가 효익</w:t>
            </w:r>
          </w:p>
        </w:tc>
        <w:tc>
          <w:tcPr>
            <w:tcW w:type="dxa" w:w="17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3년 누적</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Conservative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9개 (Rearch 6 + Rebuild 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120억</w:t>
            </w:r>
          </w:p>
        </w:tc>
        <w:tc>
          <w:tcPr>
            <w:tcW w:type="dxa" w:w="17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360억</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Base</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15개 (+ Refactor 6)</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240억</w:t>
            </w:r>
          </w:p>
        </w:tc>
        <w:tc>
          <w:tcPr>
            <w:tcW w:type="dxa" w:w="17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720억</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Optimistic</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22개 (거의 전체)</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360억</w:t>
            </w:r>
          </w:p>
        </w:tc>
        <w:tc>
          <w:tcPr>
            <w:tcW w:type="dxa" w:w="17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1,080억</w:t>
            </w:r>
          </w:p>
        </w:tc>
      </w:tr>
    </w:tbl>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7~8장. 언제(Phase) — 로드맵 개요</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7장. Phase 0~4 마스터 로드맵 (30~42개월)</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900"/>
        <w:gridCol w:w="1848"/>
      </w:tblGrid>
      <w:t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before="0" w:after="40"/>
              <w:jc w:val="center"/>
            </w:pPr>
            <w:r>
              <w:rPr>
                <w:rFonts w:ascii="Malgun Gothic" w:cs="Malgun Gothic" w:eastAsia="Malgun Gothic" w:hAnsi="Malgun Gothic"/>
                <w:b/>
                <w:bCs/>
                <w:color w:val="FFFFFF"/>
                <w:sz w:val="18"/>
                <w:szCs w:val="18"/>
              </w:rPr>
              <w:t xml:space="preserve">Phase 0</w:t>
            </w:r>
          </w:p>
          <w:p>
            <w:pPr>
              <w:spacing w:before="0" w:after="40"/>
              <w:jc w:val="center"/>
            </w:pPr>
            <w:r>
              <w:rPr>
                <w:rFonts w:ascii="Malgun Gothic" w:cs="Malgun Gothic" w:eastAsia="Malgun Gothic" w:hAnsi="Malgun Gothic"/>
                <w:color w:val="D6E4F0"/>
                <w:sz w:val="16"/>
                <w:szCs w:val="16"/>
              </w:rPr>
              <w:t xml:space="preserve">4~6개월</w:t>
            </w:r>
          </w:p>
          <w:p>
            <w:pPr>
              <w:spacing w:before="0" w:after="0"/>
              <w:jc w:val="center"/>
            </w:pPr>
            <w:r>
              <w:rPr>
                <w:rFonts w:ascii="Malgun Gothic" w:cs="Malgun Gothic" w:eastAsia="Malgun Gothic" w:hAnsi="Malgun Gothic"/>
                <w:color w:val="FFFFFF"/>
                <w:sz w:val="16"/>
                <w:szCs w:val="16"/>
              </w:rPr>
              <w:t xml:space="preserve">준비·기반</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before="0" w:after="40"/>
              <w:jc w:val="center"/>
            </w:pPr>
            <w:r>
              <w:rPr>
                <w:rFonts w:ascii="Malgun Gothic" w:cs="Malgun Gothic" w:eastAsia="Malgun Gothic" w:hAnsi="Malgun Gothic"/>
                <w:b/>
                <w:bCs/>
                <w:color w:val="FFFFFF"/>
                <w:sz w:val="18"/>
                <w:szCs w:val="18"/>
              </w:rPr>
              <w:t xml:space="preserve">Phase 1 + 1'</w:t>
            </w:r>
          </w:p>
          <w:p>
            <w:pPr>
              <w:spacing w:before="0" w:after="40"/>
              <w:jc w:val="center"/>
            </w:pPr>
            <w:r>
              <w:rPr>
                <w:rFonts w:ascii="Malgun Gothic" w:cs="Malgun Gothic" w:eastAsia="Malgun Gothic" w:hAnsi="Malgun Gothic"/>
                <w:color w:val="D6E4F0"/>
                <w:sz w:val="16"/>
                <w:szCs w:val="16"/>
              </w:rPr>
              <w:t xml:space="preserve">6~10개월</w:t>
            </w:r>
          </w:p>
          <w:p>
            <w:pPr>
              <w:spacing w:before="0" w:after="0"/>
              <w:jc w:val="center"/>
            </w:pPr>
            <w:r>
              <w:rPr>
                <w:rFonts w:ascii="Malgun Gothic" w:cs="Malgun Gothic" w:eastAsia="Malgun Gothic" w:hAnsi="Malgun Gothic"/>
                <w:color w:val="FFFFFF"/>
                <w:sz w:val="16"/>
                <w:szCs w:val="16"/>
              </w:rPr>
              <w:t xml:space="preserve">Quick Win + 파일럿</w:t>
            </w:r>
          </w:p>
        </w:tc>
        <w:tc>
          <w:tcPr>
            <w:tcW w:type="dxa" w:w="1800"/>
            <w:tcBorders>
              <w:top w:val="single" w:color="2E75B6" w:sz="4"/>
              <w:left w:val="single" w:color="2E75B6" w:sz="4"/>
              <w:bottom w:val="single" w:color="2E75B6" w:sz="4"/>
              <w:right w:val="single" w:color="2E75B6" w:sz="4"/>
            </w:tcBorders>
            <w:shd w:fill="1B6CA8" w:val="clear"/>
            <w:tcMar>
              <w:top w:type="dxa" w:w="80"/>
              <w:left w:type="dxa" w:w="120"/>
              <w:bottom w:type="dxa" w:w="80"/>
              <w:right w:type="dxa" w:w="120"/>
            </w:tcMar>
          </w:tcPr>
          <w:p>
            <w:pPr>
              <w:spacing w:before="0" w:after="40"/>
              <w:jc w:val="center"/>
            </w:pPr>
            <w:r>
              <w:rPr>
                <w:rFonts w:ascii="Malgun Gothic" w:cs="Malgun Gothic" w:eastAsia="Malgun Gothic" w:hAnsi="Malgun Gothic"/>
                <w:b/>
                <w:bCs/>
                <w:color w:val="FFFFFF"/>
                <w:sz w:val="18"/>
                <w:szCs w:val="18"/>
              </w:rPr>
              <w:t xml:space="preserve">Phase 2</w:t>
            </w:r>
          </w:p>
          <w:p>
            <w:pPr>
              <w:spacing w:before="0" w:after="40"/>
              <w:jc w:val="center"/>
            </w:pPr>
            <w:r>
              <w:rPr>
                <w:rFonts w:ascii="Malgun Gothic" w:cs="Malgun Gothic" w:eastAsia="Malgun Gothic" w:hAnsi="Malgun Gothic"/>
                <w:color w:val="D6E4F0"/>
                <w:sz w:val="16"/>
                <w:szCs w:val="16"/>
              </w:rPr>
              <w:t xml:space="preserve">14~18개월</w:t>
            </w:r>
          </w:p>
          <w:p>
            <w:pPr>
              <w:spacing w:before="0" w:after="0"/>
              <w:jc w:val="center"/>
            </w:pPr>
            <w:r>
              <w:rPr>
                <w:rFonts w:ascii="Malgun Gothic" w:cs="Malgun Gothic" w:eastAsia="Malgun Gothic" w:hAnsi="Malgun Gothic"/>
                <w:color w:val="FFFFFF"/>
                <w:sz w:val="16"/>
                <w:szCs w:val="16"/>
              </w:rPr>
              <w:t xml:space="preserve">Core Rearch</w:t>
            </w:r>
          </w:p>
        </w:tc>
        <w:tc>
          <w:tcPr>
            <w:tcW w:type="dxa" w:w="1900"/>
            <w:tcBorders>
              <w:top w:val="single" w:color="2E75B6" w:sz="4"/>
              <w:left w:val="single" w:color="2E75B6" w:sz="4"/>
              <w:bottom w:val="single" w:color="2E75B6" w:sz="4"/>
              <w:right w:val="single" w:color="2E75B6" w:sz="4"/>
            </w:tcBorders>
            <w:shd w:fill="1A5276" w:val="clear"/>
            <w:tcMar>
              <w:top w:type="dxa" w:w="80"/>
              <w:left w:type="dxa" w:w="120"/>
              <w:bottom w:type="dxa" w:w="80"/>
              <w:right w:type="dxa" w:w="120"/>
            </w:tcMar>
          </w:tcPr>
          <w:p>
            <w:pPr>
              <w:spacing w:before="0" w:after="40"/>
              <w:jc w:val="center"/>
            </w:pPr>
            <w:r>
              <w:rPr>
                <w:rFonts w:ascii="Malgun Gothic" w:cs="Malgun Gothic" w:eastAsia="Malgun Gothic" w:hAnsi="Malgun Gothic"/>
                <w:b/>
                <w:bCs/>
                <w:color w:val="FFFFFF"/>
                <w:sz w:val="18"/>
                <w:szCs w:val="18"/>
              </w:rPr>
              <w:t xml:space="preserve">Phase 3</w:t>
            </w:r>
          </w:p>
          <w:p>
            <w:pPr>
              <w:spacing w:before="0" w:after="40"/>
              <w:jc w:val="center"/>
            </w:pPr>
            <w:r>
              <w:rPr>
                <w:rFonts w:ascii="Malgun Gothic" w:cs="Malgun Gothic" w:eastAsia="Malgun Gothic" w:hAnsi="Malgun Gothic"/>
                <w:color w:val="D6E4F0"/>
                <w:sz w:val="16"/>
                <w:szCs w:val="16"/>
              </w:rPr>
              <w:t xml:space="preserve">16~20개월</w:t>
            </w:r>
          </w:p>
          <w:p>
            <w:pPr>
              <w:spacing w:before="0" w:after="0"/>
              <w:jc w:val="center"/>
            </w:pPr>
            <w:r>
              <w:rPr>
                <w:rFonts w:ascii="Malgun Gothic" w:cs="Malgun Gothic" w:eastAsia="Malgun Gothic" w:hAnsi="Malgun Gothic"/>
                <w:color w:val="FFFFFF"/>
                <w:sz w:val="16"/>
                <w:szCs w:val="16"/>
              </w:rPr>
              <w:t xml:space="preserve">Rebuild 주력</w:t>
            </w:r>
          </w:p>
        </w:tc>
        <w:tc>
          <w:tcPr>
            <w:tcW w:type="dxa" w:w="1848"/>
            <w:tcBorders>
              <w:top w:val="single" w:color="2E75B6" w:sz="4"/>
              <w:left w:val="single" w:color="2E75B6" w:sz="4"/>
              <w:bottom w:val="single" w:color="2E75B6" w:sz="4"/>
              <w:right w:val="single" w:color="2E75B6" w:sz="4"/>
            </w:tcBorders>
            <w:shd w:fill="154360" w:val="clear"/>
            <w:tcMar>
              <w:top w:type="dxa" w:w="80"/>
              <w:left w:type="dxa" w:w="120"/>
              <w:bottom w:type="dxa" w:w="80"/>
              <w:right w:type="dxa" w:w="120"/>
            </w:tcMar>
          </w:tcPr>
          <w:p>
            <w:pPr>
              <w:spacing w:before="0" w:after="40"/>
              <w:jc w:val="center"/>
            </w:pPr>
            <w:r>
              <w:rPr>
                <w:rFonts w:ascii="Malgun Gothic" w:cs="Malgun Gothic" w:eastAsia="Malgun Gothic" w:hAnsi="Malgun Gothic"/>
                <w:b/>
                <w:bCs/>
                <w:color w:val="FFFFFF"/>
                <w:sz w:val="18"/>
                <w:szCs w:val="18"/>
              </w:rPr>
              <w:t xml:space="preserve">Phase 4</w:t>
            </w:r>
          </w:p>
          <w:p>
            <w:pPr>
              <w:spacing w:before="0" w:after="40"/>
              <w:jc w:val="center"/>
            </w:pPr>
            <w:r>
              <w:rPr>
                <w:rFonts w:ascii="Malgun Gothic" w:cs="Malgun Gothic" w:eastAsia="Malgun Gothic" w:hAnsi="Malgun Gothic"/>
                <w:color w:val="D6E4F0"/>
                <w:sz w:val="16"/>
                <w:szCs w:val="16"/>
              </w:rPr>
              <w:t xml:space="preserve">10~14개월</w:t>
            </w:r>
          </w:p>
          <w:p>
            <w:pPr>
              <w:spacing w:before="0" w:after="0"/>
              <w:jc w:val="center"/>
            </w:pPr>
            <w:r>
              <w:rPr>
                <w:rFonts w:ascii="Malgun Gothic" w:cs="Malgun Gothic" w:eastAsia="Malgun Gothic" w:hAnsi="Malgun Gothic"/>
                <w:color w:val="FFFFFF"/>
                <w:sz w:val="16"/>
                <w:szCs w:val="16"/>
              </w:rPr>
              <w:t xml:space="preserve">Sustain·안정화</w:t>
            </w:r>
          </w:p>
        </w:tc>
      </w:tr>
      <w:tr>
        <w:tc>
          <w:tcPr>
            <w:tcW w:type="dxa" w:w="1600"/>
            <w:tcBorders>
              <w:top w:val="single" w:color="2E75B6" w:sz="4"/>
              <w:left w:val="single" w:color="2E75B6" w:sz="4"/>
              <w:bottom w:val="single" w:color="2E75B6" w:sz="4"/>
              <w:right w:val="single" w:color="2E75B6" w:sz="4"/>
            </w:tcBorders>
            <w:shd w:fill="F2F2F2" w:val="clear"/>
            <w:tcMar>
              <w:top w:type="dxa" w:w="60"/>
              <w:left w:type="dxa" w:w="120"/>
              <w:bottom w:type="dxa" w:w="60"/>
              <w:right w:type="dxa" w:w="120"/>
            </w:tcMar>
          </w:tcPr>
          <w:p>
            <w:pPr>
              <w:spacing w:before="0" w:after="0"/>
              <w:jc w:val="center"/>
            </w:pPr>
            <w:r>
              <w:rPr>
                <w:rFonts w:ascii="Malgun Gothic" w:cs="Malgun Gothic" w:eastAsia="Malgun Gothic" w:hAnsi="Malgun Gothic"/>
                <w:color w:val="595959"/>
                <w:sz w:val="16"/>
                <w:szCs w:val="16"/>
              </w:rPr>
              <w:t xml:space="preserve">2026.05
G0→</w:t>
            </w:r>
          </w:p>
        </w:tc>
        <w:tc>
          <w:tcPr>
            <w:tcW w:type="dxa" w:w="1600"/>
            <w:tcBorders>
              <w:top w:val="single" w:color="2E75B6" w:sz="4"/>
              <w:left w:val="single" w:color="2E75B6" w:sz="4"/>
              <w:bottom w:val="single" w:color="2E75B6" w:sz="4"/>
              <w:right w:val="single" w:color="2E75B6" w:sz="4"/>
            </w:tcBorders>
            <w:shd w:fill="F2F2F2" w:val="clear"/>
            <w:tcMar>
              <w:top w:type="dxa" w:w="60"/>
              <w:left w:type="dxa" w:w="120"/>
              <w:bottom w:type="dxa" w:w="60"/>
              <w:right w:type="dxa" w:w="120"/>
            </w:tcMar>
          </w:tcPr>
          <w:p>
            <w:pPr>
              <w:spacing w:before="0" w:after="0"/>
              <w:jc w:val="center"/>
            </w:pPr>
            <w:r>
              <w:rPr>
                <w:rFonts w:ascii="Malgun Gothic" w:cs="Malgun Gothic" w:eastAsia="Malgun Gothic" w:hAnsi="Malgun Gothic"/>
                <w:color w:val="595959"/>
                <w:sz w:val="16"/>
                <w:szCs w:val="16"/>
              </w:rPr>
              <w:t xml:space="preserve">2026.10
G1→</w:t>
            </w:r>
          </w:p>
        </w:tc>
        <w:tc>
          <w:tcPr>
            <w:tcW w:type="dxa" w:w="1800"/>
            <w:tcBorders>
              <w:top w:val="single" w:color="2E75B6" w:sz="4"/>
              <w:left w:val="single" w:color="2E75B6" w:sz="4"/>
              <w:bottom w:val="single" w:color="2E75B6" w:sz="4"/>
              <w:right w:val="single" w:color="2E75B6" w:sz="4"/>
            </w:tcBorders>
            <w:shd w:fill="F2F2F2" w:val="clear"/>
            <w:tcMar>
              <w:top w:type="dxa" w:w="60"/>
              <w:left w:type="dxa" w:w="120"/>
              <w:bottom w:type="dxa" w:w="60"/>
              <w:right w:type="dxa" w:w="120"/>
            </w:tcMar>
          </w:tcPr>
          <w:p>
            <w:pPr>
              <w:spacing w:before="0" w:after="0"/>
              <w:jc w:val="center"/>
            </w:pPr>
            <w:r>
              <w:rPr>
                <w:rFonts w:ascii="Malgun Gothic" w:cs="Malgun Gothic" w:eastAsia="Malgun Gothic" w:hAnsi="Malgun Gothic"/>
                <w:color w:val="595959"/>
                <w:sz w:val="16"/>
                <w:szCs w:val="16"/>
              </w:rPr>
              <w:t xml:space="preserve">2027.06
G2→</w:t>
            </w:r>
          </w:p>
        </w:tc>
        <w:tc>
          <w:tcPr>
            <w:tcW w:type="dxa" w:w="1900"/>
            <w:tcBorders>
              <w:top w:val="single" w:color="2E75B6" w:sz="4"/>
              <w:left w:val="single" w:color="2E75B6" w:sz="4"/>
              <w:bottom w:val="single" w:color="2E75B6" w:sz="4"/>
              <w:right w:val="single" w:color="2E75B6" w:sz="4"/>
            </w:tcBorders>
            <w:shd w:fill="F2F2F2" w:val="clear"/>
            <w:tcMar>
              <w:top w:type="dxa" w:w="60"/>
              <w:left w:type="dxa" w:w="120"/>
              <w:bottom w:type="dxa" w:w="60"/>
              <w:right w:type="dxa" w:w="120"/>
            </w:tcMar>
          </w:tcPr>
          <w:p>
            <w:pPr>
              <w:spacing w:before="0" w:after="0"/>
              <w:jc w:val="center"/>
            </w:pPr>
            <w:r>
              <w:rPr>
                <w:rFonts w:ascii="Malgun Gothic" w:cs="Malgun Gothic" w:eastAsia="Malgun Gothic" w:hAnsi="Malgun Gothic"/>
                <w:color w:val="595959"/>
                <w:sz w:val="16"/>
                <w:szCs w:val="16"/>
              </w:rPr>
              <w:t xml:space="preserve">2028.06
G3→</w:t>
            </w:r>
          </w:p>
        </w:tc>
        <w:tc>
          <w:tcPr>
            <w:tcW w:type="dxa" w:w="1848"/>
            <w:tcBorders>
              <w:top w:val="single" w:color="2E75B6" w:sz="4"/>
              <w:left w:val="single" w:color="2E75B6" w:sz="4"/>
              <w:bottom w:val="single" w:color="2E75B6" w:sz="4"/>
              <w:right w:val="single" w:color="2E75B6" w:sz="4"/>
            </w:tcBorders>
            <w:shd w:fill="F2F2F2" w:val="clear"/>
            <w:tcMar>
              <w:top w:type="dxa" w:w="60"/>
              <w:left w:type="dxa" w:w="120"/>
              <w:bottom w:type="dxa" w:w="60"/>
              <w:right w:type="dxa" w:w="120"/>
            </w:tcMar>
          </w:tcPr>
          <w:p>
            <w:pPr>
              <w:spacing w:before="0" w:after="0"/>
              <w:jc w:val="center"/>
            </w:pPr>
            <w:r>
              <w:rPr>
                <w:rFonts w:ascii="Malgun Gothic" w:cs="Malgun Gothic" w:eastAsia="Malgun Gothic" w:hAnsi="Malgun Gothic"/>
                <w:color w:val="595959"/>
                <w:sz w:val="16"/>
                <w:szCs w:val="16"/>
              </w:rPr>
              <w:t xml:space="preserve">2029.10
G4 완료</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Phase별 시스템 배정 요약</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300"/>
        <w:gridCol w:w="2548"/>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시스템 수</w:t>
            </w:r>
          </w:p>
        </w:tc>
        <w:tc>
          <w:tcPr>
            <w:tcW w:type="dxa" w:w="3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6R 분포</w:t>
            </w:r>
          </w:p>
        </w:tc>
        <w:tc>
          <w:tcPr>
            <w:tcW w:type="dxa" w:w="25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키 시스템</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1' (파일럿)</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Refactor 1 + Replatform 1</w:t>
            </w:r>
          </w:p>
        </w:tc>
        <w:tc>
          <w:tcPr>
            <w:tcW w:type="dxa" w:w="2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DLR-PORTAL, PROD-CAT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1 (Quick Win)</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8</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Replatform 4 + Rearch 1 + Refactor 1 + Rehost 1 + Retire 1</w:t>
            </w:r>
          </w:p>
        </w:tc>
        <w:tc>
          <w:tcPr>
            <w:tcW w:type="dxa" w:w="2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IDP-SSO, PAY-GW 등</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Phase 2 (Core Rearch)</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10</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Refactor 4 + Rearchitect 5 + Replace 1</w:t>
            </w:r>
          </w:p>
        </w:tc>
        <w:tc>
          <w:tcPr>
            <w:tcW w:type="dxa" w:w="2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BILL-MF 선행, CRM, ORD, NMS 등</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3 (Rebuild 주력)</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Rebuild 2</w:t>
            </w:r>
          </w:p>
        </w:tc>
        <w:tc>
          <w:tcPr>
            <w:tcW w:type="dxa" w:w="2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FLT-MGT, BILL-MF 본격</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4 (Sustain)</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Rebuild 1 + Replatform 재평가 1</w:t>
            </w:r>
          </w:p>
        </w:tc>
        <w:tc>
          <w:tcPr>
            <w:tcW w:type="dxa" w:w="2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STL-MF, IDC-OPS</w:t>
            </w:r>
          </w:p>
        </w:tc>
      </w:tr>
    </w:tbl>
    <w:p>
      <w:pPr>
        <w:spacing w:before="80" w:after="0"/>
      </w:pPr>
      <w:r>
        <w:t xml:space="preserve"/>
      </w:r>
    </w:p>
    <w:p>
      <w:pPr>
        <w:spacing w:before="40" w:after="40"/>
        <w:ind w:left="240"/>
      </w:pPr>
      <w:r>
        <w:rPr>
          <w:rFonts w:ascii="Malgun Gothic" w:cs="Malgun Gothic" w:eastAsia="Malgun Gothic" w:hAnsi="Malgun Gothic"/>
          <w:i/>
          <w:iCs/>
          <w:color w:val="595959"/>
          <w:sz w:val="18"/>
          <w:szCs w:val="18"/>
        </w:rPr>
        <w:t xml:space="preserve">Phase 2 시스템 수: 총 10개 (CNTR·CMP·BI·CSC·SFA·CRM·ORD·NMS·PRV·DW) — reviewer 지환 보완 반영. 24개 총합 유지.</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8장. 파일럿 2개 + BILL-MF Critical Path</w:t>
      </w:r>
    </w:p>
    <w:p>
      <w:pPr>
        <w:pStyle w:val="Heading3"/>
        <w:spacing w:before="160" w:after="80"/>
      </w:pPr>
      <w:r>
        <w:rPr>
          <w:rFonts w:ascii="Malgun Gothic" w:cs="Malgun Gothic" w:eastAsia="Malgun Gothic" w:hAnsi="Malgun Gothic"/>
          <w:b/>
          <w:bCs/>
          <w:color w:val="1B6CA8"/>
          <w:sz w:val="22"/>
          <w:szCs w:val="22"/>
        </w:rPr>
        <w:t xml:space="preserve">파일럿 선정 (2개)</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000"/>
        <w:gridCol w:w="4000"/>
        <w:gridCol w:w="1100"/>
      </w:tblGrid>
      <w:tr>
        <w:trPr>
          <w:tblHeader/>
        </w:trPr>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순위</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시스템</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6R</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선정 사유</w:t>
            </w:r>
          </w:p>
        </w:tc>
        <w:tc>
          <w:tcPr>
            <w:tcW w:type="dxa" w:w="1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기간</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1호 ★</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DLR-PORTAL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Refactor</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비즈니스 가치 A / 파일럿 리스크 B (이중 축)</w:t>
            </w:r>
            <w:r>
              <w:rPr>
                <w:rFonts w:ascii="Malgun Gothic" w:cs="Malgun Gothic" w:eastAsia="Malgun Gothic" w:hAnsi="Malgun Gothic"/>
                <w:b w:val="false"/>
                <w:bCs w:val="false"/>
                <w:color w:val="000000"/>
                <w:sz w:val="18"/>
                <w:szCs w:val="18"/>
              </w:rPr>
              <w:t xml:space="preserve"> · 롤백 용이 · 독립 DB · 대리점 9,500명 · DORA 5메트릭 측정 가능</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3~5개월</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2호</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PROD-CAT</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Replatform</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B등급(Cluster 5) · 독립 DB · Strangler Fig 적용 가능 · 신상품 출시 리드 2개월→2주</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2~4개월</w:t>
            </w:r>
          </w:p>
        </w:tc>
      </w:tr>
    </w:tbl>
    <w:p>
      <w:pPr>
        <w:spacing w:before="80" w:after="0"/>
      </w:pPr>
      <w:r>
        <w:t xml:space="preserve"/>
      </w:r>
    </w:p>
    <w:p>
      <w:pPr>
        <w:spacing w:before="40" w:after="40"/>
        <w:ind w:left="240"/>
      </w:pPr>
      <w:r>
        <w:rPr>
          <w:rFonts w:ascii="Malgun Gothic" w:cs="Malgun Gothic" w:eastAsia="Malgun Gothic" w:hAnsi="Malgun Gothic"/>
          <w:i/>
          <w:iCs/>
          <w:color w:val="595959"/>
          <w:sz w:val="18"/>
          <w:szCs w:val="18"/>
        </w:rPr>
        <w:t xml:space="preserve">DLR-PORTAL 등급 이중 표기: step2/2-abc.md 기준 비즈니스 가치 A (BV 5.00), 파일럿 리스크 프로파일 기준 B (핫스팟 아님, 매출 중단 리스크 낮음, 롤백 용이). 두 기준 병기. (reviewer 지환 권고 반영)</w:t>
      </w:r>
    </w:p>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BILL-MF Critical Path (24~36개월)</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348"/>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단계</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기간</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주요 내용</w:t>
            </w:r>
          </w:p>
        </w:tc>
        <w:tc>
          <w:tcPr>
            <w:tcW w:type="dxa" w:w="23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리스크</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 분해 설계</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6~9개월</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DDD + Event Storming + KT 기술 합의</w:t>
            </w:r>
          </w:p>
        </w:tc>
        <w:tc>
          <w:tcPr>
            <w:tcW w:type="dxa" w:w="23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KT 표준 의존</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 Strangler Fig 1차</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6~9개월</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비의존 도메인(상품·대리점 정산) 선행</w:t>
            </w:r>
          </w:p>
        </w:tc>
        <w:tc>
          <w:tcPr>
            <w:tcW w:type="dxa" w:w="23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KT 공동 변경 관리</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 Core 분해</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6~12개월</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요금·빌링 엔진 Rearch</w:t>
            </w:r>
          </w:p>
        </w:tc>
        <w:tc>
          <w:tcPr>
            <w:tcW w:type="dxa" w:w="23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24x7 무중단 SLA 99.95%</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 Cutover</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6~9개월</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데이터 마이그레이션 + 병행 운영</w:t>
            </w:r>
          </w:p>
        </w:tc>
        <w:tc>
          <w:tcPr>
            <w:tcW w:type="dxa" w:w="23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회귀 테스트 100% 요구</w:t>
            </w:r>
          </w:p>
        </w:tc>
      </w:tr>
    </w:tbl>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9~12장. 어떻게(6R·파일럿) — 아키텍처·거버넌스·변화관리</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9장. 6R × AI 7역량 매핑</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000"/>
        <w:gridCol w:w="3148"/>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6R</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시스템 수</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AI 7역량 활성화</w:t>
            </w:r>
          </w:p>
        </w:tc>
        <w:tc>
          <w:tcPr>
            <w:tcW w:type="dxa" w:w="31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대표 시스템</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Rearchitect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7/7 전체 활성화 (AI ROI 최대)</w:t>
            </w:r>
          </w:p>
        </w:tc>
        <w:tc>
          <w:tcPr>
            <w:tcW w:type="dxa" w:w="3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BILL-MF, CRM, PAY, ORD, NMS, DW</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Rebuild</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3</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7/7 전체 활성화</w:t>
            </w:r>
          </w:p>
        </w:tc>
        <w:tc>
          <w:tcPr>
            <w:tcW w:type="dxa" w:w="3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IDP-SSO, FLT-MGT, STL-MF</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Refactor</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4~5/7 활성화</w:t>
            </w:r>
          </w:p>
        </w:tc>
        <w:tc>
          <w:tcPr>
            <w:tcW w:type="dxa" w:w="3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PROD-CAT, CNTR, CMP, BI, CSC, MY-APP</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Replatform</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3~4/7 활성화</w:t>
            </w:r>
          </w:p>
        </w:tc>
        <w:tc>
          <w:tcPr>
            <w:tcW w:type="dxa" w:w="3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DLR-PORTAL, INV-RES, CC-IVR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Repurchase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SaaS 의존</w:t>
            </w:r>
          </w:p>
        </w:tc>
        <w:tc>
          <w:tcPr>
            <w:tcW w:type="dxa" w:w="3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SFA-ENT (Salesforce)</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Retire/Rehost</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0~1/7</w:t>
            </w:r>
          </w:p>
        </w:tc>
        <w:tc>
          <w:tcPr>
            <w:tcW w:type="dxa" w:w="3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COLL-LGC 등</w:t>
            </w:r>
          </w:p>
        </w:tc>
      </w:tr>
    </w:tbl>
    <w:p>
      <w:pPr>
        <w:spacing w:before="80" w:after="0"/>
      </w:pPr>
      <w:r>
        <w:t xml:space="preserve"/>
      </w:r>
    </w:p>
    <w:p>
      <w:pPr>
        <w:spacing w:before="40" w:after="40"/>
        <w:ind w:left="240"/>
      </w:pPr>
      <w:r>
        <w:rPr>
          <w:rFonts w:ascii="Malgun Gothic" w:cs="Malgun Gothic" w:eastAsia="Malgun Gothic" w:hAnsi="Malgun Gothic"/>
          <w:i/>
          <w:iCs/>
          <w:color w:val="595959"/>
          <w:sz w:val="18"/>
          <w:szCs w:val="18"/>
        </w:rPr>
        <w:t xml:space="preserve">규칙 (DORA 2025 §06): "Rehost(Lift &amp; Shift)는 AI ROI 잠금 해소 효과 거의 없음" → HBT 24개 중 Rehost 전략적 최소화 원칙.</w:t>
      </w:r>
    </w:p>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Bounded Context 8개 (DDD + Event Storming)</w:t>
      </w:r>
    </w:p>
    <w:p>
      <w:pPr>
        <w:pStyle w:val="ListParagraph"/>
        <w:numPr>
          <w:ilvl w:val="0"/>
          <w:numId w:val="3"/>
        </w:numPr>
        <w:spacing w:before="40" w:after="4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고객 관리 (CRM · IDP · PORTAL · DLR-PORTAL)</w:t>
      </w:r>
    </w:p>
    <w:p>
      <w:pPr>
        <w:pStyle w:val="ListParagraph"/>
        <w:numPr>
          <w:ilvl w:val="0"/>
          <w:numId w:val="3"/>
        </w:numPr>
        <w:spacing w:before="40" w:after="4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상품·카탈로그 (PROD-CAT · 상품관리)</w:t>
      </w:r>
    </w:p>
    <w:p>
      <w:pPr>
        <w:pStyle w:val="ListParagraph"/>
        <w:numPr>
          <w:ilvl w:val="0"/>
          <w:numId w:val="3"/>
        </w:numPr>
        <w:spacing w:before="40" w:after="4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요금·빌링 (BILL-MF · 요금엔진)</w:t>
      </w:r>
    </w:p>
    <w:p>
      <w:pPr>
        <w:pStyle w:val="ListParagraph"/>
        <w:numPr>
          <w:ilvl w:val="0"/>
          <w:numId w:val="3"/>
        </w:numPr>
        <w:spacing w:before="40" w:after="4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결제·정산 (PAY · 정산)</w:t>
      </w:r>
    </w:p>
    <w:p>
      <w:pPr>
        <w:pStyle w:val="ListParagraph"/>
        <w:numPr>
          <w:ilvl w:val="0"/>
          <w:numId w:val="3"/>
        </w:numPr>
        <w:spacing w:before="40" w:after="4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네트워크 운영 (NMS · 프로비저닝)</w:t>
      </w:r>
    </w:p>
    <w:p>
      <w:pPr>
        <w:pStyle w:val="ListParagraph"/>
        <w:numPr>
          <w:ilvl w:val="0"/>
          <w:numId w:val="3"/>
        </w:numPr>
        <w:spacing w:before="40" w:after="40"/>
      </w:pPr>
      <w:r>
        <w:rPr>
          <w:rFonts w:ascii="Malgun Gothic" w:cs="Malgun Gothic" w:eastAsia="Malgun Gothic" w:hAnsi="Malgun Gothic"/>
          <w:b/>
          <w:bCs/>
          <w:sz w:val="20"/>
          <w:szCs w:val="20"/>
        </w:rPr>
        <w:t xml:space="preserve">6. </w:t>
      </w:r>
      <w:r>
        <w:rPr>
          <w:rFonts w:ascii="Malgun Gothic" w:cs="Malgun Gothic" w:eastAsia="Malgun Gothic" w:hAnsi="Malgun Gothic"/>
          <w:sz w:val="20"/>
          <w:szCs w:val="20"/>
        </w:rPr>
        <w:t xml:space="preserve">콜센터·VOC (CCC · VOC)</w:t>
      </w:r>
    </w:p>
    <w:p>
      <w:pPr>
        <w:pStyle w:val="ListParagraph"/>
        <w:numPr>
          <w:ilvl w:val="0"/>
          <w:numId w:val="3"/>
        </w:numPr>
        <w:spacing w:before="40" w:after="40"/>
      </w:pPr>
      <w:r>
        <w:rPr>
          <w:rFonts w:ascii="Malgun Gothic" w:cs="Malgun Gothic" w:eastAsia="Malgun Gothic" w:hAnsi="Malgun Gothic"/>
          <w:b/>
          <w:bCs/>
          <w:sz w:val="20"/>
          <w:szCs w:val="20"/>
        </w:rPr>
        <w:t xml:space="preserve">7. </w:t>
      </w:r>
      <w:r>
        <w:rPr>
          <w:rFonts w:ascii="Malgun Gothic" w:cs="Malgun Gothic" w:eastAsia="Malgun Gothic" w:hAnsi="Malgun Gothic"/>
          <w:sz w:val="20"/>
          <w:szCs w:val="20"/>
        </w:rPr>
        <w:t xml:space="preserve">분석·BI (DW · 리포팅)</w:t>
      </w:r>
    </w:p>
    <w:p>
      <w:pPr>
        <w:pStyle w:val="ListParagraph"/>
        <w:numPr>
          <w:ilvl w:val="0"/>
          <w:numId w:val="3"/>
        </w:numPr>
        <w:spacing w:before="40" w:after="40"/>
      </w:pPr>
      <w:r>
        <w:rPr>
          <w:rFonts w:ascii="Malgun Gothic" w:cs="Malgun Gothic" w:eastAsia="Malgun Gothic" w:hAnsi="Malgun Gothic"/>
          <w:b/>
          <w:bCs/>
          <w:sz w:val="20"/>
          <w:szCs w:val="20"/>
        </w:rPr>
        <w:t xml:space="preserve">8. </w:t>
      </w:r>
      <w:r>
        <w:rPr>
          <w:rFonts w:ascii="Malgun Gothic" w:cs="Malgun Gothic" w:eastAsia="Malgun Gothic" w:hAnsi="Malgun Gothic"/>
          <w:sz w:val="20"/>
          <w:szCs w:val="20"/>
        </w:rPr>
        <w:t xml:space="preserve">공통·관리 (인사·전자결재·공통)</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10장. VSM 단축 효과 + 거버넌스 5 회의체</w:t>
      </w:r>
    </w:p>
    <w:p>
      <w:pPr>
        <w:pStyle w:val="Heading3"/>
        <w:spacing w:before="160" w:after="80"/>
      </w:pPr>
      <w:r>
        <w:rPr>
          <w:rFonts w:ascii="Malgun Gothic" w:cs="Malgun Gothic" w:eastAsia="Malgun Gothic" w:hAnsi="Malgun Gothic"/>
          <w:b/>
          <w:bCs/>
          <w:color w:val="1B6CA8"/>
          <w:sz w:val="22"/>
          <w:szCs w:val="22"/>
        </w:rPr>
        <w:t xml:space="preserve">VSM — As-Is 22주 → To-Be 1~7일</w:t>
      </w:r>
    </w:p>
    <w:tbl>
      <w:tblPr>
        <w:tblW w:type="dxa" w:w="774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1548"/>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가치 흐름 단계</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As-Is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To-Be (Base)</w:t>
            </w:r>
          </w:p>
        </w:tc>
        <w:tc>
          <w:tcPr>
            <w:tcW w:type="dxa" w:w="15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단축률</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요구사항 접수·분석</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4주</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3일</w:t>
            </w:r>
          </w:p>
        </w:tc>
        <w:tc>
          <w:tcPr>
            <w:tcW w:type="dxa" w:w="1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-93%</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설계</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3주</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2일</w:t>
            </w:r>
          </w:p>
        </w:tc>
        <w:tc>
          <w:tcPr>
            <w:tcW w:type="dxa" w:w="1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개발</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6주</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3일</w:t>
            </w:r>
          </w:p>
        </w:tc>
        <w:tc>
          <w:tcPr>
            <w:tcW w:type="dxa" w:w="1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-93%</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QA·회귀 테스트</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4주</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자동화(0.5일)</w:t>
            </w:r>
          </w:p>
        </w:tc>
        <w:tc>
          <w:tcPr>
            <w:tcW w:type="dxa" w:w="1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-97%</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배포·검증</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3주</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0.5일</w:t>
            </w:r>
          </w:p>
        </w:tc>
        <w:tc>
          <w:tcPr>
            <w:tcW w:type="dxa" w:w="1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-97%</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안정화</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2주</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1일</w:t>
            </w:r>
          </w:p>
        </w:tc>
        <w:tc>
          <w:tcPr>
            <w:tcW w:type="dxa" w:w="1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Total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22주</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1~7일</w:t>
            </w:r>
          </w:p>
        </w:tc>
        <w:tc>
          <w:tcPr>
            <w:tcW w:type="dxa" w:w="1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-95~-99%</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5 회의체 거버넌스</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3548"/>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회의체</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주기</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참여자</w:t>
            </w:r>
          </w:p>
        </w:tc>
        <w:tc>
          <w:tcPr>
            <w:tcW w:type="dxa" w:w="35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주요 역할</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Steering</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월 1회</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CEO·CFO·CIO·사업부장</w:t>
            </w:r>
          </w:p>
        </w:tc>
        <w:tc>
          <w:tcPr>
            <w:tcW w:type="dxa" w:w="3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전략·예산·우선순위 · AI 정책 정기 안건</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Working Group</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주 1회</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PMO + 리드 7인</w:t>
            </w:r>
          </w:p>
        </w:tc>
        <w:tc>
          <w:tcPr>
            <w:tcW w:type="dxa" w:w="3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실행 조정 · VSM 분기 재매핑</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ARB</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2주 1회</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EA·아키텍트</w:t>
            </w:r>
          </w:p>
        </w:tc>
        <w:tc>
          <w:tcPr>
            <w:tcW w:type="dxa" w:w="3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아키텍처 승인 · 12 플랫폼 특성 게이트</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Risk Committee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월 1회</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리스크·보안·법무</w:t>
            </w:r>
          </w:p>
        </w:tc>
        <w:tc>
          <w:tcPr>
            <w:tcW w:type="dxa" w:w="3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21개 리스크 추적 · 에스컬레이션</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Cost Committee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분기 1회</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CFO·재무·IT 재무</w:t>
            </w:r>
          </w:p>
        </w:tc>
        <w:tc>
          <w:tcPr>
            <w:tcW w:type="dxa" w:w="3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TCO·BEP 추적 · AI 인프라 비용 분리</w:t>
            </w:r>
          </w:p>
        </w:tc>
      </w:tr>
    </w:tbl>
    <w:p>
      <w:r>
        <w:br w:type="pag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11장. 6 가드레일 + AI 3-Bucket 정책</w:t>
      </w:r>
    </w:p>
    <w:p>
      <w:pPr>
        <w:pStyle w:val="Heading3"/>
        <w:spacing w:before="160" w:after="80"/>
      </w:pPr>
      <w:r>
        <w:rPr>
          <w:rFonts w:ascii="Malgun Gothic" w:cs="Malgun Gothic" w:eastAsia="Malgun Gothic" w:hAnsi="Malgun Gothic"/>
          <w:b/>
          <w:bCs/>
          <w:color w:val="1B6CA8"/>
          <w:sz w:val="22"/>
          <w:szCs w:val="22"/>
        </w:rPr>
        <w:t xml:space="preserve">6 가드레일 — Phase별 단계적 도입</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500"/>
        <w:gridCol w:w="1500"/>
        <w:gridCol w:w="1400"/>
        <w:gridCol w:w="120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가드레일</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1</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2</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3</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4</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SAST (정적 보안)</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100%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2 100%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지속</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SCA (오픈소스 취약점)</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100%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2 100%</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지속</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회귀 테스트 자동화</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70%+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2 85%+</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 90%+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95%+</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Contract Test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API 100%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핵심 API 100%</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지속</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DAST (동적 보안)</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주 1회</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2 주 1회</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지속</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6</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Chaos Engineering</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2 핵심</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 월 1회</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주 1회</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AI 3-Bucket 정책 (DORA 권장)</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400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Bucket</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항목 수</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예시</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375623"/>
                <w:sz w:val="18"/>
                <w:szCs w:val="18"/>
              </w:rPr>
              <w:t xml:space="preserve">Allowed</w:t>
            </w:r>
            <w:r>
              <w:rPr>
                <w:rFonts w:ascii="Malgun Gothic" w:cs="Malgun Gothic" w:eastAsia="Malgun Gothic" w:hAnsi="Malgun Gothic"/>
                <w:b w:val="false"/>
                <w:bCs w:val="false"/>
                <w:color w:val="000000"/>
                <w:sz w:val="18"/>
                <w:szCs w:val="18"/>
              </w:rPr>
              <w:t xml:space="preserve"> (저위험·고가치)</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보일러플레이트 생성, 비독점 데이터 브레인스토밍, 테스트 코드 초안 생성</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BF8F00"/>
                <w:sz w:val="18"/>
                <w:szCs w:val="18"/>
              </w:rPr>
              <w:t xml:space="preserve">Permitted with Guardrails</w:t>
            </w:r>
            <w:r>
              <w:rPr>
                <w:rFonts w:ascii="Malgun Gothic" w:cs="Malgun Gothic" w:eastAsia="Malgun Gothic" w:hAnsi="Malgun Gothic"/>
                <w:b w:val="false"/>
                <w:bCs w:val="false"/>
                <w:color w:val="000000"/>
                <w:sz w:val="18"/>
                <w:szCs w:val="18"/>
              </w:rPr>
              <w:t xml:space="preserve"> (조건부)</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사내 AI 도구로만 독점 소스 코드 사용, AI 생성 코드 human-in-the-loop 필수, PII 마스킹 후 활용</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Prohibited</w:t>
            </w:r>
            <w:r>
              <w:rPr>
                <w:rFonts w:ascii="Malgun Gothic" w:cs="Malgun Gothic" w:eastAsia="Malgun Gothic" w:hAnsi="Malgun Gothic"/>
                <w:b w:val="false"/>
                <w:bCs w:val="false"/>
                <w:color w:val="000000"/>
                <w:sz w:val="18"/>
                <w:szCs w:val="18"/>
              </w:rPr>
              <w:t xml:space="preserve"> (금지)</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10</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고객 PII/영업비밀을 공개 AI 모델 입력, 보안 키/비밀번호 프롬프트 포함, KT 표준 프로토콜 변경</w:t>
            </w:r>
          </w:p>
        </w:tc>
      </w:tr>
    </w:tbl>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12장. 변화관리 — Phase × 6축 핵심</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1548"/>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축</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0</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1 (파일럿)</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2</w:t>
            </w:r>
          </w:p>
        </w:tc>
        <w:tc>
          <w:tcPr>
            <w:tcW w:type="dxa" w:w="15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Phase 4</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커뮤니케이션</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14 stakeholder 2x2 매핑</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성공 스토리 공유</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BILL-MF 분해 주간 투명 공개</w:t>
            </w:r>
          </w:p>
        </w:tc>
        <w:tc>
          <w:tcPr>
            <w:tcW w:type="dxa" w:w="1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 Town Hall 분기 1회</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교육</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DORA 설문·12 플랫폼 특성 워크숍</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팀 Trunk-based 교육</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 AI 3-Bucket 교육</w:t>
            </w:r>
          </w:p>
        </w:tc>
        <w:tc>
          <w:tcPr>
            <w:tcW w:type="dxa" w:w="1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CoP 주도 지속 학습</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조직</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워킹그룹·CoP 준비</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플랫폼 팀 시드 (4명)</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플랫폼 팀 확장 (4→10명)</w:t>
            </w:r>
          </w:p>
        </w:tc>
        <w:tc>
          <w:tcPr>
            <w:tcW w:type="dxa" w:w="1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페더레이션 모델 전환</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측정</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DORA 5 베이스라인 + 12 플랫폼 특성</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메트릭 주간</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H.E.A.R.T. 플랫폼 측정</w:t>
            </w:r>
          </w:p>
        </w:tc>
        <w:tc>
          <w:tcPr>
            <w:tcW w:type="dxa" w:w="1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Cluster 6/7 진입률 반기</w:t>
            </w:r>
          </w:p>
        </w:tc>
      </w:tr>
    </w:tbl>
    <w:p>
      <w:pPr>
        <w:spacing w:before="80" w:after="0"/>
      </w:pPr>
      <w:r>
        <w:t xml:space="preserve"/>
      </w:r>
    </w:p>
    <w:p>
      <w:pPr>
        <w:pBdr>
          <w:left w:val="thick" w:color="BF8F00" w:sz="12" w:space="4"/>
        </w:pBdr>
        <w:shd w:fill="FFF2CC" w:val="clear"/>
        <w:spacing w:before="80" w:after="80"/>
        <w:ind w:left="360"/>
      </w:pPr>
      <w:r>
        <w:rPr>
          <w:rFonts w:ascii="Malgun Gothic" w:cs="Malgun Gothic" w:eastAsia="Malgun Gothic" w:hAnsi="Malgun Gothic"/>
          <w:i/>
          <w:iCs/>
          <w:color w:val="1F3864"/>
          <w:sz w:val="20"/>
          <w:szCs w:val="20"/>
        </w:rPr>
        <w:t xml:space="preserve">"AI shines a light on what's working, but it also surfaces what needs to change. For organizations ready to look, the reflection AI offers becomes a roadmap." — DORA 2025 The AI Mirror Chapter (Phase 1 킥오프 슬라이드 1페이지 채택 예정)</w:t>
      </w:r>
    </w:p>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13~15장. 위험(리스크·가드레일) — Top 5 + 거버넌스</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13장. 21개 리스크 매트릭스 요약</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0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영향 \ 발생확률</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Low</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Med</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High</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2건</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BF8F00"/>
                <w:sz w:val="18"/>
                <w:szCs w:val="18"/>
              </w:rPr>
              <w:t xml:space="preserve">3건 (R-D-02, R-B-01, R-T-02)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2건 (R-P-02, R-D-01)</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Med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4건</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5건</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3건</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1건</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1건</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0건</w:t>
            </w:r>
          </w:p>
        </w:tc>
      </w:tr>
    </w:tbl>
    <w:p>
      <w:pPr>
        <w:spacing w:before="80" w:after="0"/>
      </w:pPr>
      <w:r>
        <w:t xml:space="preserve"/>
      </w:r>
    </w:p>
    <w:p>
      <w:pPr>
        <w:pBdr>
          <w:left w:val="thick" w:color="C00000" w:sz="12" w:space="4"/>
        </w:pBdr>
        <w:shd w:fill="FFE0E0" w:val="clear"/>
        <w:spacing w:before="80" w:after="80"/>
        <w:ind w:left="360"/>
      </w:pPr>
      <w:r>
        <w:rPr>
          <w:rFonts w:ascii="Malgun Gothic" w:cs="Malgun Gothic" w:eastAsia="Malgun Gothic" w:hAnsi="Malgun Gothic"/>
          <w:i/>
          <w:iCs/>
          <w:color w:val="1F3864"/>
          <w:sz w:val="20"/>
          <w:szCs w:val="20"/>
        </w:rPr>
        <w:t xml:space="preserve">Phase 1 위험 가중치 합계 32 (최대치) — 파일럿 실패 시 전체 프로그램 신뢰도 붕괴 리스크 집중.</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14장. Top 5 리스크 심층 — 대응 전략</w:t>
      </w:r>
    </w:p>
    <w:p>
      <w:pPr>
        <w:spacing w:before="120" w:after="60"/>
      </w:pPr>
      <w:r>
        <w:rPr>
          <w:rFonts w:ascii="Malgun Gothic" w:cs="Malgun Gothic" w:eastAsia="Malgun Gothic" w:hAnsi="Malgun Gothic"/>
          <w:b/>
          <w:bCs/>
          <w:color w:val="C00000"/>
          <w:sz w:val="22"/>
          <w:szCs w:val="22"/>
        </w:rPr>
        <w:t xml:space="preserve">R-P-02 (High·High, 가중치 9) — BILL-MF KT 표준 의존</w:t>
      </w:r>
    </w:p>
    <w:p>
      <w:pPr>
        <w:pStyle w:val="ListParagraph"/>
        <w:numPr>
          <w:ilvl w:val="0"/>
          <w:numId w:val="3"/>
        </w:numPr>
        <w:spacing w:before="40" w:after="40"/>
      </w:pPr>
      <w:r>
        <w:rPr>
          <w:rFonts w:ascii="Malgun Gothic" w:cs="Malgun Gothic" w:eastAsia="Malgun Gothic" w:hAnsi="Malgun Gothic"/>
          <w:sz w:val="20"/>
          <w:szCs w:val="20"/>
        </w:rPr>
        <w:t xml:space="preserve">영향: Phase 3 GO/NO-GO에 직접 영향, Critical Path 6~12개월 지연 가능, 예산 55~90억 추가</w:t>
      </w:r>
    </w:p>
    <w:p>
      <w:pPr>
        <w:pStyle w:val="ListParagraph"/>
        <w:numPr>
          <w:ilvl w:val="0"/>
          <w:numId w:val="3"/>
        </w:numPr>
        <w:spacing w:before="40" w:after="40"/>
      </w:pPr>
      <w:r>
        <w:rPr>
          <w:rFonts w:ascii="Malgun Gothic" w:cs="Malgun Gothic" w:eastAsia="Malgun Gothic" w:hAnsi="Malgun Gothic"/>
          <w:sz w:val="20"/>
          <w:szCs w:val="20"/>
        </w:rPr>
        <w:t xml:space="preserve">대응: 2026.Q2부터 KT와 분기 1회 기술 공동 회의체 신설 · KT 비의존 도메인 우선 · G2 게이트 조건에 KT 기술 합의서 필수</w:t>
      </w:r>
    </w:p>
    <w:p>
      <w:pPr>
        <w:spacing w:before="120" w:after="60"/>
      </w:pPr>
      <w:r>
        <w:rPr>
          <w:rFonts w:ascii="Malgun Gothic" w:cs="Malgun Gothic" w:eastAsia="Malgun Gothic" w:hAnsi="Malgun Gothic"/>
          <w:b/>
          <w:bCs/>
          <w:color w:val="C00000"/>
          <w:sz w:val="22"/>
          <w:szCs w:val="22"/>
        </w:rPr>
        <w:t xml:space="preserve">R-D-01 (High·High, 가중치 9) — AI Rework 폭증</w:t>
      </w:r>
    </w:p>
    <w:p>
      <w:pPr>
        <w:pStyle w:val="ListParagraph"/>
        <w:numPr>
          <w:ilvl w:val="0"/>
          <w:numId w:val="3"/>
        </w:numPr>
        <w:spacing w:before="40" w:after="40"/>
      </w:pPr>
      <w:r>
        <w:rPr>
          <w:rFonts w:ascii="Malgun Gothic" w:cs="Malgun Gothic" w:eastAsia="Malgun Gothic" w:hAnsi="Malgun Gothic"/>
          <w:sz w:val="20"/>
          <w:szCs w:val="20"/>
        </w:rPr>
        <w:t xml:space="preserve">영향: AI Copilot 활성화 후 Rework Rate +40~70% 가능 (DORA 2025 2024 vs 2025 비교) → CFR 악화 → SLA 위반</w:t>
      </w:r>
    </w:p>
    <w:p>
      <w:pPr>
        <w:pStyle w:val="ListParagraph"/>
        <w:numPr>
          <w:ilvl w:val="0"/>
          <w:numId w:val="3"/>
        </w:numPr>
        <w:spacing w:before="40" w:after="40"/>
      </w:pPr>
      <w:r>
        <w:rPr>
          <w:rFonts w:ascii="Malgun Gothic" w:cs="Malgun Gothic" w:eastAsia="Malgun Gothic" w:hAnsi="Malgun Gothic"/>
          <w:sz w:val="20"/>
          <w:szCs w:val="20"/>
        </w:rPr>
        <w:t xml:space="preserve">대응: Rework Rate 주간 측정 + 임계치 15% 초과 시 AI 도구 사용 일시 중단 · PR 라인 수 &lt; 300 강제</w:t>
      </w:r>
    </w:p>
    <w:p>
      <w:pPr>
        <w:spacing w:before="120" w:after="60"/>
      </w:pPr>
      <w:r>
        <w:rPr>
          <w:rFonts w:ascii="Malgun Gothic" w:cs="Malgun Gothic" w:eastAsia="Malgun Gothic" w:hAnsi="Malgun Gothic"/>
          <w:b/>
          <w:bCs/>
          <w:color w:val="BF8F00"/>
          <w:sz w:val="22"/>
          <w:szCs w:val="22"/>
        </w:rPr>
        <w:t xml:space="preserve">R-T-02 (Med·High, 가중치 6) — 동시 Rearch 3개 이상</w:t>
      </w:r>
    </w:p>
    <w:p>
      <w:pPr>
        <w:pStyle w:val="ListParagraph"/>
        <w:numPr>
          <w:ilvl w:val="0"/>
          <w:numId w:val="3"/>
        </w:numPr>
        <w:spacing w:before="40" w:after="40"/>
      </w:pPr>
      <w:r>
        <w:rPr>
          <w:rFonts w:ascii="Malgun Gothic" w:cs="Malgun Gothic" w:eastAsia="Malgun Gothic" w:hAnsi="Malgun Gothic"/>
          <w:sz w:val="20"/>
          <w:szCs w:val="20"/>
        </w:rPr>
        <w:t xml:space="preserve">영향: Phase 2 일정 3~9개월 지연, 인건비 +30~70억</w:t>
      </w:r>
    </w:p>
    <w:p>
      <w:pPr>
        <w:pStyle w:val="ListParagraph"/>
        <w:numPr>
          <w:ilvl w:val="0"/>
          <w:numId w:val="3"/>
        </w:numPr>
        <w:spacing w:before="40" w:after="40"/>
      </w:pPr>
      <w:r>
        <w:rPr>
          <w:rFonts w:ascii="Malgun Gothic" w:cs="Malgun Gothic" w:eastAsia="Malgun Gothic" w:hAnsi="Malgun Gothic"/>
          <w:sz w:val="20"/>
          <w:szCs w:val="20"/>
        </w:rPr>
        <w:t xml:space="preserve">대응: ARB에서 Rearch 동시 진행 최대 2개 규칙 확정 · Context Map 기반 의존성 DAG 구축</w:t>
      </w:r>
    </w:p>
    <w:p>
      <w:pPr>
        <w:spacing w:before="120" w:after="60"/>
      </w:pPr>
      <w:r>
        <w:rPr>
          <w:rFonts w:ascii="Malgun Gothic" w:cs="Malgun Gothic" w:eastAsia="Malgun Gothic" w:hAnsi="Malgun Gothic"/>
          <w:b/>
          <w:bCs/>
          <w:color w:val="BF8F00"/>
          <w:sz w:val="22"/>
          <w:szCs w:val="22"/>
        </w:rPr>
        <w:t xml:space="preserve">R-D-02 (Med·High, 가중치 6) — IDP SPOF</w:t>
      </w:r>
    </w:p>
    <w:p>
      <w:pPr>
        <w:pStyle w:val="ListParagraph"/>
        <w:numPr>
          <w:ilvl w:val="0"/>
          <w:numId w:val="3"/>
        </w:numPr>
        <w:spacing w:before="40" w:after="40"/>
      </w:pPr>
      <w:r>
        <w:rPr>
          <w:rFonts w:ascii="Malgun Gothic" w:cs="Malgun Gothic" w:eastAsia="Malgun Gothic" w:hAnsi="Malgun Gothic"/>
          <w:sz w:val="20"/>
          <w:szCs w:val="20"/>
        </w:rPr>
        <w:t xml:space="preserve">영향: 장애 1건당 30분~4시간 전사 다운, SLA 위약금 10~50억/건</w:t>
      </w:r>
    </w:p>
    <w:p>
      <w:pPr>
        <w:pStyle w:val="ListParagraph"/>
        <w:numPr>
          <w:ilvl w:val="0"/>
          <w:numId w:val="3"/>
        </w:numPr>
        <w:spacing w:before="40" w:after="40"/>
      </w:pPr>
      <w:r>
        <w:rPr>
          <w:rFonts w:ascii="Malgun Gothic" w:cs="Malgun Gothic" w:eastAsia="Malgun Gothic" w:hAnsi="Malgun Gothic"/>
          <w:sz w:val="20"/>
          <w:szCs w:val="20"/>
        </w:rPr>
        <w:t xml:space="preserve">대응: Blue-Green 배포 + 5분 내 롤백 의무 · Chaos Engineering IDP 최우선 적용 · 백업 IDP(Keycloak SaaS) Phase 0 조달</w:t>
      </w:r>
    </w:p>
    <w:p>
      <w:pPr>
        <w:spacing w:before="120" w:after="60"/>
      </w:pPr>
      <w:r>
        <w:rPr>
          <w:rFonts w:ascii="Malgun Gothic" w:cs="Malgun Gothic" w:eastAsia="Malgun Gothic" w:hAnsi="Malgun Gothic"/>
          <w:b/>
          <w:bCs/>
          <w:color w:val="BF8F00"/>
          <w:sz w:val="22"/>
          <w:szCs w:val="22"/>
        </w:rPr>
        <w:t xml:space="preserve">R-B-01 (Med·High, 가중치 6) — AI ROI 스폰서십 이탈</w:t>
      </w:r>
    </w:p>
    <w:p>
      <w:pPr>
        <w:pStyle w:val="ListParagraph"/>
        <w:numPr>
          <w:ilvl w:val="0"/>
          <w:numId w:val="3"/>
        </w:numPr>
        <w:spacing w:before="40" w:after="40"/>
      </w:pPr>
      <w:r>
        <w:rPr>
          <w:rFonts w:ascii="Malgun Gothic" w:cs="Malgun Gothic" w:eastAsia="Malgun Gothic" w:hAnsi="Malgun Gothic"/>
          <w:sz w:val="20"/>
          <w:szCs w:val="20"/>
        </w:rPr>
        <w:t xml:space="preserve">영향: Phase 2 예산 30~50% 삭감, 전체 프로그램 1.5~2년 지연</w:t>
      </w:r>
    </w:p>
    <w:p>
      <w:pPr>
        <w:pStyle w:val="ListParagraph"/>
        <w:numPr>
          <w:ilvl w:val="0"/>
          <w:numId w:val="3"/>
        </w:numPr>
        <w:spacing w:before="40" w:after="40"/>
      </w:pPr>
      <w:r>
        <w:rPr>
          <w:rFonts w:ascii="Malgun Gothic" w:cs="Malgun Gothic" w:eastAsia="Malgun Gothic" w:hAnsi="Malgun Gothic"/>
          <w:sz w:val="20"/>
          <w:szCs w:val="20"/>
        </w:rPr>
        <w:t xml:space="preserve">대응: 월간 CFO 브리핑 정기화 · AI ROI 잠금 해소 지표(연 200~400억) 별도 추적 · DORA Figure 49 경영진 핵심 카드 반복 노출</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15장. 3-색 에스컬레이션 + Phase 게이트 조건</w:t>
      </w:r>
    </w:p>
    <w:p>
      <w:pPr>
        <w:pStyle w:val="Heading3"/>
        <w:spacing w:before="160" w:after="80"/>
      </w:pPr>
      <w:r>
        <w:rPr>
          <w:rFonts w:ascii="Malgun Gothic" w:cs="Malgun Gothic" w:eastAsia="Malgun Gothic" w:hAnsi="Malgun Gothic"/>
          <w:b/>
          <w:bCs/>
          <w:color w:val="1B6CA8"/>
          <w:sz w:val="22"/>
          <w:szCs w:val="22"/>
        </w:rPr>
        <w:t xml:space="preserve">3-색 에스컬레이션</w:t>
      </w:r>
    </w:p>
    <w:tbl>
      <w:tblPr>
        <w:tblW w:type="dxa" w:w="774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1148"/>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색</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기준</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조치</w:t>
            </w:r>
          </w:p>
        </w:tc>
        <w:tc>
          <w:tcPr>
            <w:tcW w:type="dxa" w:w="11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책임자</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375623"/>
                <w:sz w:val="18"/>
                <w:szCs w:val="18"/>
              </w:rPr>
              <w:t xml:space="preserve">Green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모든 게이트 조건 충족, DORA 5메트릭 계획대로</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월간 리뷰만</w:t>
            </w:r>
          </w:p>
        </w:tc>
        <w:tc>
          <w:tcPr>
            <w:tcW w:type="dxa" w:w="1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PMO</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BF8F00"/>
                <w:sz w:val="18"/>
                <w:szCs w:val="18"/>
              </w:rPr>
              <w:t xml:space="preserve">Yellow</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1~2개 메트릭 미달, Phase 내 회복 가능</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Working Group 주 1회 집중 리뷰</w:t>
            </w:r>
          </w:p>
        </w:tc>
        <w:tc>
          <w:tcPr>
            <w:tcW w:type="dxa" w:w="1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PMO + 리드</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Red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3개+ 메트릭 미달 또는 Critical Path 지연</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Steering 임시 소집 (72시간 이내)</w:t>
            </w:r>
          </w:p>
        </w:tc>
        <w:tc>
          <w:tcPr>
            <w:tcW w:type="dxa" w:w="1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CIO + CFO</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Phase 게이트 요약 — DORA 5메트릭 GO 조건</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6200"/>
      </w:tblGrid>
      <w:tr>
        <w:trPr>
          <w:tblHeader/>
        </w:trPr>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게이트</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시점</w:t>
            </w:r>
          </w:p>
        </w:tc>
        <w:tc>
          <w:tcPr>
            <w:tcW w:type="dxa" w:w="6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핵심 GO 조건</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G0 → G1</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2026.10</w:t>
            </w:r>
          </w:p>
        </w:tc>
        <w:tc>
          <w:tcPr>
            <w:tcW w:type="dxa" w:w="6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12 플랫폼 특성 자가평가 완료 + AI 3-Bucket 초안 승인 + VSM 매핑 완료</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G1 → G2</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2027.06</w:t>
            </w:r>
          </w:p>
        </w:tc>
        <w:tc>
          <w:tcPr>
            <w:tcW w:type="dxa" w:w="6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파일럿 2개 DORA 5메트릭 ≥ 1단계 향상 + Rollback 5분 이내 + CFR ≤ 15%</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G2 → G3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2028.06</w:t>
            </w:r>
          </w:p>
        </w:tc>
        <w:tc>
          <w:tcPr>
            <w:tcW w:type="dxa" w:w="6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12 플랫폼 특성 평균 "Moderately" 이상 + BILL-MF 분해 50%+ + AI 7역량 베이스라인</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G3 → G4</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2029.03</w:t>
            </w:r>
          </w:p>
        </w:tc>
        <w:tc>
          <w:tcPr>
            <w:tcW w:type="dxa" w:w="6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AI 역량 평균 ≥ "평균" + AI ROI 측정 가능 + Cluster 6/7 ≥ 30%</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G4 완료</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2029.10</w:t>
            </w:r>
          </w:p>
        </w:tc>
        <w:tc>
          <w:tcPr>
            <w:tcW w:type="dxa" w:w="6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Cluster 6/7 ≥ 50%</w:t>
            </w:r>
            <w:r>
              <w:rPr>
                <w:rFonts w:ascii="Malgun Gothic" w:cs="Malgun Gothic" w:eastAsia="Malgun Gothic" w:hAnsi="Malgun Gothic"/>
                <w:b w:val="false"/>
                <w:bCs w:val="false"/>
                <w:color w:val="000000"/>
                <w:sz w:val="18"/>
                <w:szCs w:val="18"/>
              </w:rPr>
              <w:t xml:space="preserve"> + DORA 5메트릭 전 지표 Top 50% + TCO 절감 Base 7% 이상</w:t>
            </w:r>
          </w:p>
        </w:tc>
      </w:tr>
    </w:tbl>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16~17장. 결론 — 의사결정 요청</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16장. 스폰서십 3단계 + 지금 결정해야 하는 이유</w:t>
      </w:r>
    </w:p>
    <w:p>
      <w:pPr>
        <w:pStyle w:val="Heading3"/>
        <w:spacing w:before="160" w:after="80"/>
      </w:pPr>
      <w:r>
        <w:rPr>
          <w:rFonts w:ascii="Malgun Gothic" w:cs="Malgun Gothic" w:eastAsia="Malgun Gothic" w:hAnsi="Malgun Gothic"/>
          <w:b/>
          <w:bCs/>
          <w:color w:val="1B6CA8"/>
          <w:sz w:val="22"/>
          <w:szCs w:val="22"/>
        </w:rPr>
        <w:t xml:space="preserve">경영진 스폰서십 구조</w:t>
      </w:r>
    </w:p>
    <w:tbl>
      <w:tblPr>
        <w:tblW w:type="dxa" w:w="874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148"/>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레벨</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스폰서</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역할</w:t>
            </w:r>
          </w:p>
        </w:tc>
        <w:tc>
          <w:tcPr>
            <w:tcW w:type="dxa" w:w="31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HBT 현황</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CEO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전사 비전·우선순위 결정</w:t>
            </w:r>
          </w:p>
        </w:tc>
        <w:tc>
          <w:tcPr>
            <w:tcW w:type="dxa" w:w="3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2026.Q1 내부 킥오프 완료</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2E75B6"/>
                <w:sz w:val="18"/>
                <w:szCs w:val="18"/>
              </w:rPr>
              <w:t xml:space="preserve">CFO (핵심 게이트키퍼)</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TCO·BEP 추적, 예산 집행</w:t>
            </w:r>
          </w:p>
        </w:tc>
        <w:tc>
          <w:tcPr>
            <w:tcW w:type="dxa" w:w="31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C00000"/>
                <w:sz w:val="18"/>
                <w:szCs w:val="18"/>
              </w:rPr>
              <w:t xml:space="preserve">공동 스폰서십 레터 필요</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CIO + 사업부장 4인</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Phase별 실행 승인</w:t>
            </w:r>
          </w:p>
        </w:tc>
        <w:tc>
          <w:tcPr>
            <w:tcW w:type="dxa" w:w="31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0 워킹그룹 구성 중</w:t>
            </w:r>
          </w:p>
        </w:tc>
      </w:tr>
    </w:tbl>
    <w:p>
      <w:pPr>
        <w:spacing w:before="80" w:after="0"/>
      </w:pPr>
      <w:r>
        <w:t xml:space="preserve"/>
      </w:r>
    </w:p>
    <w:p>
      <w:pPr>
        <w:pBdr>
          <w:left w:val="thick" w:color="C00000" w:sz="12" w:space="4"/>
        </w:pBdr>
        <w:shd w:fill="FFE0E0" w:val="clear"/>
        <w:spacing w:before="80" w:after="80"/>
        <w:ind w:left="360"/>
      </w:pPr>
      <w:r>
        <w:rPr>
          <w:rFonts w:ascii="Malgun Gothic" w:cs="Malgun Gothic" w:eastAsia="Malgun Gothic" w:hAnsi="Malgun Gothic"/>
          <w:i/>
          <w:iCs/>
          <w:color w:val="1F3864"/>
          <w:sz w:val="20"/>
          <w:szCs w:val="20"/>
        </w:rPr>
        <w:t xml:space="preserve">CFO 공동 스폰서십이 전체 프로그램의 최대 성공 변수 — 2022년 디지털혁신 프로젝트 좌초 원인 1위가 "재무 본부 미참여".</w:t>
      </w:r>
    </w:p>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지금 시작해야 하는 이유 — DORA 핵심 메시지</w:t>
      </w:r>
    </w:p>
    <w:p>
      <w:pPr>
        <w:pBdr>
          <w:left w:val="thick" w:color="2E75B6" w:sz="12" w:space="4"/>
        </w:pBdr>
        <w:shd w:fill="D6E4F0" w:val="clear"/>
        <w:spacing w:before="80" w:after="80"/>
        <w:ind w:left="360"/>
      </w:pPr>
      <w:r>
        <w:rPr>
          <w:rFonts w:ascii="Malgun Gothic" w:cs="Malgun Gothic" w:eastAsia="Malgun Gothic" w:hAnsi="Malgun Gothic"/>
          <w:i/>
          <w:iCs/>
          <w:color w:val="1F3864"/>
          <w:sz w:val="20"/>
          <w:szCs w:val="20"/>
        </w:rPr>
        <w:t xml:space="preserve">"상위 40%(Cluster 6·7)는 속도와 안정성 모두 우수함." — DORA 2025 Cluster 분포 (§01)</w:t>
      </w:r>
    </w:p>
    <w:p>
      <w:pPr>
        <w:pBdr>
          <w:left w:val="thick" w:color="2E75B6" w:sz="12" w:space="4"/>
        </w:pBdr>
        <w:shd w:fill="D6E4F0" w:val="clear"/>
        <w:spacing w:before="80" w:after="80"/>
        <w:ind w:left="360"/>
      </w:pPr>
      <w:r>
        <w:rPr>
          <w:rFonts w:ascii="Malgun Gothic" w:cs="Malgun Gothic" w:eastAsia="Malgun Gothic" w:hAnsi="Malgun Gothic"/>
          <w:i/>
          <w:iCs/>
          <w:color w:val="1F3864"/>
          <w:sz w:val="20"/>
          <w:szCs w:val="20"/>
        </w:rPr>
        <w:t xml:space="preserve">"Harmonious high-achiever (Cluster 7) — 20%의 조직이 이미 도달한 안정적이고 빠르며 의미 있는 일상." — DORA 2025 (§06)</w:t>
      </w:r>
    </w:p>
    <w:p>
      <w:pPr>
        <w:spacing w:before="80" w:after="60"/>
        <w:jc w:val="left"/>
      </w:pPr>
      <w:r>
        <w:rPr>
          <w:rFonts w:ascii="Malgun Gothic" w:cs="Malgun Gothic" w:eastAsia="Malgun Gothic" w:hAnsi="Malgun Gothic"/>
          <w:b w:val="false"/>
          <w:bCs w:val="false"/>
          <w:i w:val="false"/>
          <w:iCs w:val="false"/>
          <w:color w:val="000000"/>
          <w:sz w:val="20"/>
          <w:szCs w:val="20"/>
        </w:rPr>
        <w:t xml:space="preserve">Phase 4 목표 = Cluster 6/7 50% 진입 — </w:t>
      </w:r>
      <w:r>
        <w:rPr>
          <w:rFonts w:ascii="Malgun Gothic" w:cs="Malgun Gothic" w:eastAsia="Malgun Gothic" w:hAnsi="Malgun Gothic"/>
          <w:b/>
          <w:bCs/>
          <w:i w:val="false"/>
          <w:iCs w:val="false"/>
          <w:color w:val="2E75B6"/>
          <w:sz w:val="20"/>
          <w:szCs w:val="20"/>
        </w:rPr>
        <w:t xml:space="preserve">비현실적 목표가 아니라 글로벌 20%가 달성한 현실</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17장. 최종 의사결정 요청 — 5개 항목</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400"/>
        <w:gridCol w:w="150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의사결정 항목</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기한</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담당</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Phase 0 착수 승인</w:t>
            </w:r>
            <w:r>
              <w:rPr>
                <w:rFonts w:ascii="Malgun Gothic" w:cs="Malgun Gothic" w:eastAsia="Malgun Gothic" w:hAnsi="Malgun Gothic"/>
                <w:b w:val="false"/>
                <w:bCs w:val="false"/>
                <w:color w:val="000000"/>
                <w:sz w:val="18"/>
                <w:szCs w:val="18"/>
              </w:rPr>
              <w:t xml:space="preserve"> (35~60억, 2026.05.01~2026.10.31)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2026.05.01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CEO·CFO·CIO</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Phase 0 게이트 통과 시 Phase 1 자동 승인 조건 합의</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2026.05.15</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CEO·CFO</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CFO 공동 스폰서십 확정</w:t>
            </w:r>
            <w:r>
              <w:rPr>
                <w:rFonts w:ascii="Malgun Gothic" w:cs="Malgun Gothic" w:eastAsia="Malgun Gothic" w:hAnsi="Malgun Gothic"/>
                <w:b w:val="false"/>
                <w:bCs w:val="false"/>
                <w:color w:val="000000"/>
                <w:sz w:val="18"/>
                <w:szCs w:val="18"/>
              </w:rPr>
              <w:t xml:space="preserve"> (TCO·BEP 추적 주관)</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2026.04.30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CEO → CFO</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리스크·거버넌스 위원회 발족</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2026.05.15</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CIO</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변화관리 예산 별도 계정 신설</w:t>
            </w:r>
            <w:r>
              <w:rPr>
                <w:rFonts w:ascii="Malgun Gothic" w:cs="Malgun Gothic" w:eastAsia="Malgun Gothic" w:hAnsi="Malgun Gothic"/>
                <w:b w:val="false"/>
                <w:bCs w:val="false"/>
                <w:color w:val="000000"/>
                <w:sz w:val="18"/>
                <w:szCs w:val="18"/>
              </w:rPr>
              <w:t xml:space="preserve"> (전체의 8~12%, 32~100억)</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2026.05.01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CFO</w:t>
            </w:r>
          </w:p>
        </w:tc>
      </w:tr>
    </w:tbl>
    <w:p>
      <w:r>
        <w:br w:type="page"/>
      </w:r>
    </w:p>
    <w:p>
      <w:pPr>
        <w:pStyle w:val="Heading1"/>
        <w:shd w:fill="1F3864" w:val="clear"/>
        <w:spacing w:before="240" w:after="120"/>
      </w:pPr>
      <w:r>
        <w:rPr>
          <w:rFonts w:ascii="Malgun Gothic" w:cs="Malgun Gothic" w:eastAsia="Malgun Gothic" w:hAnsi="Malgun Gothic"/>
          <w:b/>
          <w:bCs/>
          <w:color w:val="FFFFFF"/>
          <w:sz w:val="32"/>
          <w:szCs w:val="32"/>
        </w:rPr>
        <w:t xml:space="preserve">18~20장. DORA 핵심 인용 5장 + 참고문헌</w:t>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18~19장. 경영진 반복 인용용 DORA 카드 5장</w:t>
      </w:r>
    </w:p>
    <w:p>
      <w:pPr>
        <w:pStyle w:val="Heading3"/>
        <w:spacing w:before="160" w:after="80"/>
      </w:pPr>
      <w:r>
        <w:rPr>
          <w:rFonts w:ascii="Malgun Gothic" w:cs="Malgun Gothic" w:eastAsia="Malgun Gothic" w:hAnsi="Malgun Gothic"/>
          <w:b/>
          <w:bCs/>
          <w:color w:val="1B6CA8"/>
          <w:sz w:val="22"/>
          <w:szCs w:val="22"/>
        </w:rPr>
        <w:t xml:space="preserve">카드 1 — 속도와 안정성은 트레이드오프가 아님</w:t>
      </w:r>
    </w:p>
    <w:p>
      <w:pPr>
        <w:pBdr>
          <w:left w:val="thick" w:color="2E75B6" w:sz="12" w:space="4"/>
        </w:pBdr>
        <w:shd w:fill="D6E4F0" w:val="clear"/>
        <w:spacing w:before="80" w:after="80"/>
        <w:ind w:left="360"/>
      </w:pPr>
      <w:r>
        <w:rPr>
          <w:rFonts w:ascii="Malgun Gothic" w:cs="Malgun Gothic" w:eastAsia="Malgun Gothic" w:hAnsi="Malgun Gothic"/>
          <w:i/>
          <w:iCs/>
          <w:color w:val="1F3864"/>
          <w:sz w:val="20"/>
          <w:szCs w:val="20"/>
        </w:rPr>
        <w:t xml:space="preserve">"상위 40%(Cluster 6·Harmonious high-achiever 7)는 속도와 안정성 모두 우수함." — DORA 2025 Cluster 분포 (§01)</w:t>
      </w:r>
    </w:p>
    <w:p>
      <w:pPr>
        <w:spacing w:before="60" w:after="60"/>
        <w:jc w:val="left"/>
      </w:pPr>
      <w:r>
        <w:rPr>
          <w:rFonts w:ascii="Malgun Gothic" w:cs="Malgun Gothic" w:eastAsia="Malgun Gothic" w:hAnsi="Malgun Gothic"/>
          <w:b w:val="false"/>
          <w:bCs w:val="false"/>
          <w:i w:val="false"/>
          <w:iCs w:val="false"/>
          <w:color w:val="000000"/>
          <w:sz w:val="20"/>
          <w:szCs w:val="20"/>
        </w:rPr>
        <w:t xml:space="preserve">HBT 적용: "안정성을 위해 속도를 포기할 수밖에 없다"는 기존 IT 본부 방어 논리 데이터로 </w:t>
      </w:r>
    </w:p>
    <w:p>
      <w:pPr>
        <w:pStyle w:val="ListParagraph"/>
        <w:numPr>
          <w:ilvl w:val="0"/>
          <w:numId w:val="3"/>
        </w:numPr>
        <w:spacing w:before="40" w:after="40"/>
      </w:pPr>
      <w:r>
        <w:rPr>
          <w:rFonts w:ascii="Malgun Gothic" w:cs="Malgun Gothic" w:eastAsia="Malgun Gothic" w:hAnsi="Malgun Gothic"/>
          <w:sz w:val="20"/>
          <w:szCs w:val="20"/>
        </w:rPr>
        <w:t xml:space="preserve">반박 가능. 데이터로 "빠르면서 안정적인" 조직이 실존함을 증명.</w:t>
      </w:r>
    </w:p>
    <w:p>
      <w:pPr>
        <w:pStyle w:val="Heading3"/>
        <w:spacing w:before="160" w:after="80"/>
      </w:pPr>
      <w:r>
        <w:rPr>
          <w:rFonts w:ascii="Malgun Gothic" w:cs="Malgun Gothic" w:eastAsia="Malgun Gothic" w:hAnsi="Malgun Gothic"/>
          <w:b/>
          <w:bCs/>
          <w:color w:val="1B6CA8"/>
          <w:sz w:val="22"/>
          <w:szCs w:val="22"/>
        </w:rPr>
        <w:t xml:space="preserve">카드 2 — 20%가 이미 도달한 현실</w:t>
      </w:r>
    </w:p>
    <w:p>
      <w:pPr>
        <w:pBdr>
          <w:left w:val="thick" w:color="2E75B6" w:sz="12" w:space="4"/>
        </w:pBdr>
        <w:shd w:fill="D6E4F0" w:val="clear"/>
        <w:spacing w:before="80" w:after="80"/>
        <w:ind w:left="360"/>
      </w:pPr>
      <w:r>
        <w:rPr>
          <w:rFonts w:ascii="Malgun Gothic" w:cs="Malgun Gothic" w:eastAsia="Malgun Gothic" w:hAnsi="Malgun Gothic"/>
          <w:i/>
          <w:iCs/>
          <w:color w:val="1F3864"/>
          <w:sz w:val="20"/>
          <w:szCs w:val="20"/>
        </w:rPr>
        <w:t xml:space="preserve">"Harmonious high-achiever (Cluster 7) — 20%의 조직이 이미 도달한 안정적이고 빠르며 의미 있는 일상." — DORA 2025 (§06)</w:t>
      </w:r>
    </w:p>
    <w:p>
      <w:pPr>
        <w:spacing w:before="60" w:after="60"/>
        <w:jc w:val="left"/>
      </w:pPr>
      <w:r>
        <w:rPr>
          <w:rFonts w:ascii="Malgun Gothic" w:cs="Malgun Gothic" w:eastAsia="Malgun Gothic" w:hAnsi="Malgun Gothic"/>
          <w:b w:val="false"/>
          <w:bCs w:val="false"/>
          <w:i w:val="false"/>
          <w:iCs w:val="false"/>
          <w:color w:val="000000"/>
          <w:sz w:val="20"/>
          <w:szCs w:val="20"/>
        </w:rPr>
        <w:t xml:space="preserve">HBT 적용: 비현실적 목표가 아니라 </w:t>
      </w:r>
      <w:r>
        <w:rPr>
          <w:rFonts w:ascii="Malgun Gothic" w:cs="Malgun Gothic" w:eastAsia="Malgun Gothic" w:hAnsi="Malgun Gothic"/>
          <w:b/>
          <w:bCs/>
          <w:i w:val="false"/>
          <w:iCs w:val="false"/>
          <w:color w:val="000000"/>
          <w:sz w:val="20"/>
          <w:szCs w:val="20"/>
        </w:rPr>
        <w:t xml:space="preserve">글로벌 20%가 달성한 현실</w:t>
      </w:r>
      <w:r>
        <w:rPr>
          <w:rFonts w:ascii="Malgun Gothic" w:cs="Malgun Gothic" w:eastAsia="Malgun Gothic" w:hAnsi="Malgun Gothic"/>
          <w:b w:val="false"/>
          <w:bCs w:val="false"/>
          <w:i w:val="false"/>
          <w:iCs w:val="false"/>
          <w:color w:val="000000"/>
          <w:sz w:val="20"/>
          <w:szCs w:val="20"/>
        </w:rPr>
        <w:t xml:space="preserve">. Phase 4 목표 = Cluster 6/7 50%.</w:t>
      </w:r>
    </w:p>
    <w:p>
      <w:pPr>
        <w:pStyle w:val="Heading3"/>
        <w:spacing w:before="160" w:after="80"/>
      </w:pPr>
      <w:r>
        <w:rPr>
          <w:rFonts w:ascii="Malgun Gothic" w:cs="Malgun Gothic" w:eastAsia="Malgun Gothic" w:hAnsi="Malgun Gothic"/>
          <w:b/>
          <w:bCs/>
          <w:color w:val="1B6CA8"/>
          <w:sz w:val="22"/>
          <w:szCs w:val="22"/>
        </w:rPr>
        <w:t xml:space="preserve">카드 3 — AI는 증폭기임</w:t>
      </w:r>
    </w:p>
    <w:p>
      <w:pPr>
        <w:pBdr>
          <w:left w:val="thick" w:color="BF8F00" w:sz="12" w:space="4"/>
        </w:pBdr>
        <w:shd w:fill="FFF2CC" w:val="clear"/>
        <w:spacing w:before="80" w:after="80"/>
        <w:ind w:left="360"/>
      </w:pPr>
      <w:r>
        <w:rPr>
          <w:rFonts w:ascii="Malgun Gothic" w:cs="Malgun Gothic" w:eastAsia="Malgun Gothic" w:hAnsi="Malgun Gothic"/>
          <w:i/>
          <w:iCs/>
          <w:color w:val="1F3864"/>
          <w:sz w:val="20"/>
          <w:szCs w:val="20"/>
        </w:rPr>
        <w:t xml:space="preserve">"In 2025, the central question for technology leaders is no longer if they should adopt AI, but how to realize its value. AI's primary role in software development is that of an amplifier. It magnifies the strengths of high-performing organizations and the dysfunctions of struggling ones." — DORA 2025 Executive Summary (§06)</w:t>
      </w:r>
    </w:p>
    <w:p>
      <w:pPr>
        <w:spacing w:before="60" w:after="60"/>
        <w:jc w:val="left"/>
      </w:pPr>
      <w:r>
        <w:rPr>
          <w:rFonts w:ascii="Malgun Gothic" w:cs="Malgun Gothic" w:eastAsia="Malgun Gothic" w:hAnsi="Malgun Gothic"/>
          <w:b w:val="false"/>
          <w:bCs w:val="false"/>
          <w:i w:val="false"/>
          <w:iCs w:val="false"/>
          <w:color w:val="000000"/>
          <w:sz w:val="20"/>
          <w:szCs w:val="20"/>
        </w:rPr>
        <w:t xml:space="preserve">HBT 적용: AI는 중립 도구가 아님. </w:t>
      </w:r>
      <w:r>
        <w:rPr>
          <w:rFonts w:ascii="Malgun Gothic" w:cs="Malgun Gothic" w:eastAsia="Malgun Gothic" w:hAnsi="Malgun Gothic"/>
          <w:b/>
          <w:bCs/>
          <w:i w:val="false"/>
          <w:iCs w:val="false"/>
          <w:color w:val="C00000"/>
          <w:sz w:val="20"/>
          <w:szCs w:val="20"/>
        </w:rPr>
        <w:t xml:space="preserve">HBT의 현재 기술부채를 증폭</w:t>
      </w:r>
      <w:r>
        <w:rPr>
          <w:rFonts w:ascii="Malgun Gothic" w:cs="Malgun Gothic" w:eastAsia="Malgun Gothic" w:hAnsi="Malgun Gothic"/>
          <w:b w:val="false"/>
          <w:bCs w:val="false"/>
          <w:i w:val="false"/>
          <w:iCs w:val="false"/>
          <w:color w:val="000000"/>
          <w:sz w:val="20"/>
          <w:szCs w:val="20"/>
        </w:rPr>
        <w:t xml:space="preserve">하기 전에 AM 전환 필수.</w:t>
      </w:r>
    </w:p>
    <w:p>
      <w:pPr>
        <w:pStyle w:val="Heading3"/>
        <w:spacing w:before="160" w:after="80"/>
      </w:pPr>
      <w:r>
        <w:rPr>
          <w:rFonts w:ascii="Malgun Gothic" w:cs="Malgun Gothic" w:eastAsia="Malgun Gothic" w:hAnsi="Malgun Gothic"/>
          <w:b/>
          <w:bCs/>
          <w:color w:val="1B6CA8"/>
          <w:sz w:val="22"/>
          <w:szCs w:val="22"/>
        </w:rPr>
        <w:t xml:space="preserve">카드 4 — AM 없는 AI 투자 = ROI 0 (가장 중요)</w:t>
      </w:r>
    </w:p>
    <w:p>
      <w:pPr>
        <w:pBdr>
          <w:left w:val="thick" w:color="C00000" w:sz="12" w:space="4"/>
        </w:pBdr>
        <w:shd w:fill="FFE0E0" w:val="clear"/>
        <w:spacing w:before="80" w:after="80"/>
        <w:ind w:left="360"/>
      </w:pPr>
      <w:r>
        <w:rPr>
          <w:rFonts w:ascii="Malgun Gothic" w:cs="Malgun Gothic" w:eastAsia="Malgun Gothic" w:hAnsi="Malgun Gothic"/>
          <w:i/>
          <w:iCs/>
          <w:color w:val="1F3864"/>
          <w:sz w:val="20"/>
          <w:szCs w:val="20"/>
        </w:rPr>
        <w:t xml:space="preserve">"An investment in AI without a corresponding investment in high-quality platforms is unlikely to yield significant returns at the organizational level." — DORA 2025 Platform Engineering Chapter (Figure 49)</w:t>
      </w:r>
    </w:p>
    <w:p>
      <w:pPr>
        <w:spacing w:before="60" w:after="60"/>
        <w:jc w:val="left"/>
      </w:pPr>
      <w:r>
        <w:rPr>
          <w:rFonts w:ascii="Malgun Gothic" w:cs="Malgun Gothic" w:eastAsia="Malgun Gothic" w:hAnsi="Malgun Gothic"/>
          <w:b w:val="false"/>
          <w:bCs w:val="false"/>
          <w:i w:val="false"/>
          <w:iCs w:val="false"/>
          <w:color w:val="000000"/>
          <w:sz w:val="20"/>
          <w:szCs w:val="20"/>
        </w:rPr>
        <w:t xml:space="preserve">HBT 적용: HBT 2025 AI Copilot 파일럿 결과 "ROI 측정 불가"는 </w:t>
      </w:r>
      <w:r>
        <w:rPr>
          <w:rFonts w:ascii="Malgun Gothic" w:cs="Malgun Gothic" w:eastAsia="Malgun Gothic" w:hAnsi="Malgun Gothic"/>
          <w:b/>
          <w:bCs/>
          <w:i w:val="false"/>
          <w:iCs w:val="false"/>
          <w:color w:val="000000"/>
          <w:sz w:val="20"/>
          <w:szCs w:val="20"/>
        </w:rPr>
        <w:t xml:space="preserve">예측된 결과</w:t>
      </w:r>
      <w:r>
        <w:rPr>
          <w:rFonts w:ascii="Malgun Gothic" w:cs="Malgun Gothic" w:eastAsia="Malgun Gothic" w:hAnsi="Malgun Gothic"/>
          <w:b w:val="false"/>
          <w:bCs w:val="false"/>
          <w:i w:val="false"/>
          <w:iCs w:val="false"/>
          <w:color w:val="000000"/>
          <w:sz w:val="20"/>
          <w:szCs w:val="20"/>
        </w:rPr>
        <w:t xml:space="preserve">. AM = AI ROI의 전제조건.</w:t>
      </w:r>
    </w:p>
    <w:p>
      <w:pPr>
        <w:pStyle w:val="Heading3"/>
        <w:spacing w:before="160" w:after="80"/>
      </w:pPr>
      <w:r>
        <w:rPr>
          <w:rFonts w:ascii="Malgun Gothic" w:cs="Malgun Gothic" w:eastAsia="Malgun Gothic" w:hAnsi="Malgun Gothic"/>
          <w:b/>
          <w:bCs/>
          <w:color w:val="1B6CA8"/>
          <w:sz w:val="22"/>
          <w:szCs w:val="22"/>
        </w:rPr>
        <w:t xml:space="preserve">카드 5 — AI Mirror</w:t>
      </w:r>
    </w:p>
    <w:p>
      <w:pPr>
        <w:pBdr>
          <w:left w:val="thick" w:color="BF8F00" w:sz="12" w:space="4"/>
        </w:pBdr>
        <w:shd w:fill="FFF2CC" w:val="clear"/>
        <w:spacing w:before="80" w:after="80"/>
        <w:ind w:left="360"/>
      </w:pPr>
      <w:r>
        <w:rPr>
          <w:rFonts w:ascii="Malgun Gothic" w:cs="Malgun Gothic" w:eastAsia="Malgun Gothic" w:hAnsi="Malgun Gothic"/>
          <w:i/>
          <w:iCs/>
          <w:color w:val="1F3864"/>
          <w:sz w:val="20"/>
          <w:szCs w:val="20"/>
        </w:rPr>
        <w:t xml:space="preserve">"AI shines a light on what's working, accelerating what's already in motion, but it also surfaces what needs to change. For organizations ready to look, the reflection AI offers becomes a roadmap." — DORA 2025 The AI Mirror Chapter (§06)</w:t>
      </w:r>
    </w:p>
    <w:p>
      <w:pPr>
        <w:spacing w:before="60" w:after="60"/>
        <w:jc w:val="left"/>
      </w:pPr>
      <w:r>
        <w:rPr>
          <w:rFonts w:ascii="Malgun Gothic" w:cs="Malgun Gothic" w:eastAsia="Malgun Gothic" w:hAnsi="Malgun Gothic"/>
          <w:b w:val="false"/>
          <w:bCs w:val="false"/>
          <w:i w:val="false"/>
          <w:iCs w:val="false"/>
          <w:color w:val="000000"/>
          <w:sz w:val="20"/>
          <w:szCs w:val="20"/>
        </w:rPr>
        <w:t xml:space="preserve">HBT 적용: Phase 1 킥오프 슬라이드 1페이지 채택 — </w:t>
      </w:r>
      <w:r>
        <w:rPr>
          <w:rFonts w:ascii="Malgun Gothic" w:cs="Malgun Gothic" w:eastAsia="Malgun Gothic" w:hAnsi="Malgun Gothic"/>
          <w:b/>
          <w:bCs/>
          <w:i w:val="false"/>
          <w:iCs w:val="false"/>
          <w:color w:val="2E75B6"/>
          <w:sz w:val="20"/>
          <w:szCs w:val="20"/>
        </w:rPr>
        <w:t xml:space="preserve">"HBT는 볼 준비가 된 조직"</w:t>
      </w:r>
      <w:r>
        <w:rPr>
          <w:rFonts w:ascii="Malgun Gothic" w:cs="Malgun Gothic" w:eastAsia="Malgun Gothic" w:hAnsi="Malgun Gothic"/>
          <w:b w:val="false"/>
          <w:bCs w:val="false"/>
          <w:i w:val="false"/>
          <w:iCs w:val="false"/>
          <w:color w:val="000000"/>
          <w:sz w:val="20"/>
          <w:szCs w:val="20"/>
        </w:rPr>
        <w:t xml:space="preserve"> 선언.</w:t>
      </w:r>
    </w:p>
    <w:p>
      <w:pPr>
        <w:spacing w:before="120" w:after="0"/>
      </w:pPr>
      <w:r>
        <w:t xml:space="preserve"/>
      </w:r>
    </w:p>
    <w:p>
      <w:pPr>
        <w:pStyle w:val="Heading2"/>
        <w:pBdr>
          <w:bottom w:val="single" w:color="2E75B6" w:sz="6" w:space="2"/>
        </w:pBdr>
        <w:spacing w:before="200" w:after="100"/>
      </w:pPr>
      <w:r>
        <w:rPr>
          <w:rFonts w:ascii="Malgun Gothic" w:cs="Malgun Gothic" w:eastAsia="Malgun Gothic" w:hAnsi="Malgun Gothic"/>
          <w:b/>
          <w:bCs/>
          <w:color w:val="1F3864"/>
          <w:sz w:val="26"/>
          <w:szCs w:val="26"/>
        </w:rPr>
        <w:t xml:space="preserve">20장. 참고문헌 및 내부 근거 자료</w:t>
      </w:r>
    </w:p>
    <w:p>
      <w:pPr>
        <w:pStyle w:val="Heading3"/>
        <w:spacing w:before="160" w:after="80"/>
      </w:pPr>
      <w:r>
        <w:rPr>
          <w:rFonts w:ascii="Malgun Gothic" w:cs="Malgun Gothic" w:eastAsia="Malgun Gothic" w:hAnsi="Malgun Gothic"/>
          <w:b/>
          <w:bCs/>
          <w:color w:val="1B6CA8"/>
          <w:sz w:val="22"/>
          <w:szCs w:val="22"/>
        </w:rPr>
        <w:t xml:space="preserve">외부 참고문헌</w:t>
      </w:r>
    </w:p>
    <w:tbl>
      <w:tblPr>
        <w:tblW w:type="dxa" w:w="7748"/>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3548"/>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w:t>
            </w:r>
          </w:p>
        </w:tc>
        <w:tc>
          <w:tcPr>
            <w:tcW w:type="dxa" w:w="3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출처</w:t>
            </w:r>
          </w:p>
        </w:tc>
        <w:tc>
          <w:tcPr>
            <w:tcW w:type="dxa" w:w="3548"/>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주요 인용 수치</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1</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DORA 2025 State of DevOps Report</w:t>
            </w:r>
            <w:r>
              <w:rPr>
                <w:rFonts w:ascii="Malgun Gothic" w:cs="Malgun Gothic" w:eastAsia="Malgun Gothic" w:hAnsi="Malgun Gothic"/>
                <w:b w:val="false"/>
                <w:bCs w:val="false"/>
                <w:color w:val="000000"/>
                <w:sz w:val="18"/>
                <w:szCs w:val="18"/>
              </w:rPr>
              <w:t xml:space="preserve"> (Google, 응답자 4,997명, 90% AI 사용)</w:t>
            </w:r>
          </w:p>
        </w:tc>
        <w:tc>
          <w:tcPr>
            <w:tcW w:type="dxa" w:w="3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Lead Time 분포, Figure 49, Cluster 7개</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2</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DORA AI Capabilities Model Guide</w:t>
            </w:r>
            <w:r>
              <w:rPr>
                <w:rFonts w:ascii="Malgun Gothic" w:cs="Malgun Gothic" w:eastAsia="Malgun Gothic" w:hAnsi="Malgun Gothic"/>
                <w:b w:val="false"/>
                <w:bCs w:val="false"/>
                <w:color w:val="000000"/>
                <w:sz w:val="18"/>
                <w:szCs w:val="18"/>
              </w:rPr>
              <w:t xml:space="preserve"> (2025.12, 97페이지)</w:t>
            </w:r>
          </w:p>
        </w:tc>
        <w:tc>
          <w:tcPr>
            <w:tcW w:type="dxa" w:w="3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AI 7역량, 12 플랫폼 특성</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3</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행정안전부 2026.03.11</w:t>
            </w:r>
            <w:r>
              <w:rPr>
                <w:rFonts w:ascii="Malgun Gothic" w:cs="Malgun Gothic" w:eastAsia="Malgun Gothic" w:hAnsi="Malgun Gothic"/>
                <w:b w:val="false"/>
                <w:bCs w:val="false"/>
                <w:color w:val="000000"/>
                <w:sz w:val="18"/>
                <w:szCs w:val="18"/>
              </w:rPr>
              <w:t xml:space="preserve"> (제5회 과학기술관계장관회의)</w:t>
            </w:r>
          </w:p>
        </w:tc>
        <w:tc>
          <w:tcPr>
            <w:tcW w:type="dxa" w:w="3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TCO 18.4% 절감, 장애 81% 감소, 배포 114% 향상</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4</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bCs/>
                <w:color w:val="000000"/>
                <w:sz w:val="18"/>
                <w:szCs w:val="18"/>
              </w:rPr>
              <w:t xml:space="preserve">근로복지공단 사례</w:t>
            </w:r>
            <w:r>
              <w:rPr>
                <w:rFonts w:ascii="Malgun Gothic" w:cs="Malgun Gothic" w:eastAsia="Malgun Gothic" w:hAnsi="Malgun Gothic"/>
                <w:b w:val="false"/>
                <w:bCs w:val="false"/>
                <w:color w:val="000000"/>
                <w:sz w:val="18"/>
                <w:szCs w:val="18"/>
              </w:rPr>
              <w:t xml:space="preserve"> (행안부 2025.12.23 성과보고회)</w:t>
            </w:r>
          </w:p>
        </w:tc>
        <w:tc>
          <w:tcPr>
            <w:tcW w:type="dxa" w:w="3548"/>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Lead Time 23배 단축</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5</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Gartner TIME Matrix / Martin Fowler Strangler Fig / AWS·Azure 6R Framework</w:t>
            </w:r>
          </w:p>
        </w:tc>
        <w:tc>
          <w:tcPr>
            <w:tcW w:type="dxa" w:w="354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방법론 근거</w:t>
            </w:r>
          </w:p>
        </w:tc>
      </w:tr>
    </w:tbl>
    <w:p>
      <w:pPr>
        <w:spacing w:before="120" w:after="0"/>
      </w:pPr>
      <w:r>
        <w:t xml:space="preserve"/>
      </w:r>
    </w:p>
    <w:p>
      <w:pPr>
        <w:pStyle w:val="Heading3"/>
        <w:spacing w:before="160" w:after="80"/>
      </w:pPr>
      <w:r>
        <w:rPr>
          <w:rFonts w:ascii="Malgun Gothic" w:cs="Malgun Gothic" w:eastAsia="Malgun Gothic" w:hAnsi="Malgun Gothic"/>
          <w:b/>
          <w:bCs/>
          <w:color w:val="1B6CA8"/>
          <w:sz w:val="22"/>
          <w:szCs w:val="22"/>
        </w:rPr>
        <w:t xml:space="preserve">내부 근거 산출물</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구분</w:t>
            </w:r>
          </w:p>
        </w:tc>
        <w:tc>
          <w:tcPr>
            <w:tcW w:type="dxa" w:w="6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before="0" w:after="0"/>
              <w:jc w:val="center"/>
            </w:pPr>
            <w:r>
              <w:rPr>
                <w:rFonts w:ascii="Malgun Gothic" w:cs="Malgun Gothic" w:eastAsia="Malgun Gothic" w:hAnsi="Malgun Gothic"/>
                <w:b/>
                <w:bCs/>
                <w:color w:val="FFFFFF"/>
                <w:sz w:val="18"/>
                <w:szCs w:val="18"/>
              </w:rPr>
              <w:t xml:space="preserve">파일 경로</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Step 1 통합 (WHY)</w:t>
            </w:r>
          </w:p>
        </w:tc>
        <w:tc>
          <w:tcPr>
            <w:tcW w:type="dxa" w:w="6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output/hbt/step1/why-statement.md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Step 2 현황 분석 7건</w:t>
            </w:r>
          </w:p>
        </w:tc>
        <w:tc>
          <w:tcPr>
            <w:tcW w:type="dxa" w:w="6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output/hbt/step2/1-inventory.md ~ 7-change-kickoff.md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Step 3 전략 6건</w:t>
            </w:r>
          </w:p>
        </w:tc>
        <w:tc>
          <w:tcPr>
            <w:tcW w:type="dxa" w:w="6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output/hbt/step3/1-6r-detail.md ~ 6-change-mgmt.md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Step 3 통합 보고서</w:t>
            </w:r>
          </w:p>
        </w:tc>
        <w:tc>
          <w:tcPr>
            <w:tcW w:type="dxa" w:w="6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output/hbt/step3/strategy-report.md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검토 보고서</w:t>
            </w:r>
          </w:p>
        </w:tc>
        <w:tc>
          <w:tcPr>
            <w:tcW w:type="dxa" w:w="6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before="0" w:after="0"/>
            </w:pPr>
            <w:r>
              <w:rPr>
                <w:rFonts w:ascii="Malgun Gothic" w:cs="Malgun Gothic" w:eastAsia="Malgun Gothic" w:hAnsi="Malgun Gothic"/>
                <w:b w:val="false"/>
                <w:bCs w:val="false"/>
                <w:color w:val="000000"/>
                <w:sz w:val="18"/>
                <w:szCs w:val="18"/>
              </w:rPr>
              <w:t xml:space="preserve">output/hbt/final/review-report.md (APPROVED WITH CONDITIONS)</w:t>
            </w:r>
          </w:p>
        </w:tc>
      </w:tr>
    </w:tbl>
    <w:p>
      <w:pPr>
        <w:spacing w:before="240" w:after="0"/>
      </w:pPr>
      <w:r>
        <w:t xml:space="preserve"/>
      </w:r>
    </w:p>
    <w:p>
      <w:pPr>
        <w:spacing w:before="120" w:after="80"/>
        <w:jc w:val="center"/>
      </w:pPr>
      <w:r>
        <w:rPr>
          <w:rFonts w:ascii="Malgun Gothic" w:cs="Malgun Gothic" w:eastAsia="Malgun Gothic" w:hAnsi="Malgun Gothic"/>
          <w:b/>
          <w:bCs/>
          <w:i/>
          <w:iCs/>
          <w:color w:val="1F3864"/>
          <w:sz w:val="22"/>
          <w:szCs w:val="22"/>
        </w:rPr>
        <w:t xml:space="preserve">"AM 없는 AI ROI는 0. HBT는 지금 시작함."</w:t>
      </w:r>
    </w:p>
    <w:p>
      <w:pPr>
        <w:spacing w:before="0" w:after="0"/>
        <w:jc w:val="center"/>
      </w:pPr>
      <w:r>
        <w:rPr>
          <w:rFonts w:ascii="Malgun Gothic" w:cs="Malgun Gothic" w:eastAsia="Malgun Gothic" w:hAnsi="Malgun Gothic"/>
          <w:color w:val="595959"/>
          <w:sz w:val="18"/>
          <w:szCs w:val="18"/>
        </w:rPr>
        <w:t xml:space="preserve">— 서윤 (AM 전략 리드), 지민·도현·민호·재원·하늘·연우 공동 · 2026-04-18</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spacing w:before="80" w:after="0"/>
    </w:pPr>
    <w:r>
      <w:rPr>
        <w:rFonts w:ascii="Malgun Gothic" w:cs="Malgun Gothic" w:eastAsia="Malgun Gothic" w:hAnsi="Malgun Gothic"/>
        <w:color w:val="595959"/>
        <w:sz w:val="16"/>
        <w:szCs w:val="16"/>
      </w:rPr>
      <w:t xml:space="preserve">am-strategy · HBT 경영진 극비 보고서</w:t>
    </w:r>
    <w:r>
      <w:rPr>
        <w:rFonts w:ascii="Malgun Gothic" w:cs="Malgun Gothic" w:eastAsia="Malgun Gothic" w:hAnsi="Malgun Gothic"/>
        <w:sz w:val="16"/>
        <w:szCs w:val="16"/>
      </w:rPr>
      <w:t xml:space="preserve">	</w:t>
    </w:r>
    <w:r>
      <w:rPr>
        <w:rFonts w:ascii="Malgun Gothic" w:cs="Malgun Gothic" w:eastAsia="Malgun Gothic" w:hAnsi="Malgun Gothic"/>
        <w:color w:val="595959"/>
        <w:sz w:val="16"/>
        <w:szCs w:val="16"/>
      </w:rPr>
      <w:t xml:space="preserve">페이지 </w:t>
    </w:r>
    <w:r>
      <w:rPr>
        <w:rFonts w:ascii="Malgun Gothic" w:cs="Malgun Gothic" w:eastAsia="Malgun Gothic" w:hAnsi="Malgun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before="0" w:after="80"/>
    </w:pPr>
    <w:r>
      <w:rPr>
        <w:rFonts w:ascii="Malgun Gothic" w:cs="Malgun Gothic" w:eastAsia="Malgun Gothic" w:hAnsi="Malgun Gothic"/>
        <w:color w:val="595959"/>
        <w:sz w:val="16"/>
        <w:szCs w:val="16"/>
      </w:rPr>
      <w:t xml:space="preserve">HBT AM 전환 전략 — 경영진 요약 보고서</w:t>
    </w:r>
    <w:r>
      <w:rPr>
        <w:rFonts w:ascii="Malgun Gothic" w:cs="Malgun Gothic" w:eastAsia="Malgun Gothic" w:hAnsi="Malgun Gothic"/>
        <w:sz w:val="16"/>
        <w:szCs w:val="16"/>
      </w:rPr>
      <w:t xml:space="preserve">	</w:t>
    </w:r>
    <w:r>
      <w:rPr>
        <w:rFonts w:ascii="Malgun Gothic" w:cs="Malgun Gothic" w:eastAsia="Malgun Gothic" w:hAnsi="Malgun Gothic"/>
        <w:color w:val="595959"/>
        <w:sz w:val="16"/>
        <w:szCs w:val="16"/>
      </w:rPr>
      <w:t xml:space="preserve">v1.0 · 2026-04-18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240" w:after="160"/>
      <w:outlineLvl w:val="0"/>
    </w:pPr>
    <w:rPr>
      <w:rFonts w:ascii="Malgun Gothic" w:cs="Malgun Gothic" w:eastAsia="Malgun Gothic" w:hAnsi="Malgun Gothic"/>
      <w:b/>
      <w:bCs/>
      <w:color w:val="FFFFFF"/>
      <w:sz w:val="32"/>
      <w:szCs w:val="32"/>
    </w:rPr>
  </w:style>
  <w:style w:type="paragraph" w:styleId="Heading2">
    <w:name w:val="Heading 2"/>
    <w:basedOn w:val="Normal"/>
    <w:next w:val="Normal"/>
    <w:qFormat/>
    <w:pPr>
      <w:spacing w:before="200" w:after="100"/>
      <w:outlineLvl w:val="1"/>
    </w:pPr>
    <w:rPr>
      <w:rFonts w:ascii="Malgun Gothic" w:cs="Malgun Gothic" w:eastAsia="Malgun Gothic" w:hAnsi="Malgun Gothic"/>
      <w:b/>
      <w:bCs/>
      <w:color w:val="1F3864"/>
      <w:sz w:val="26"/>
      <w:szCs w:val="26"/>
    </w:rPr>
  </w:style>
  <w:style w:type="paragraph" w:styleId="Heading3">
    <w:name w:val="Heading 3"/>
    <w:basedOn w:val="Normal"/>
    <w:next w:val="Normal"/>
    <w:qFormat/>
    <w:pPr>
      <w:spacing w:before="160" w:after="80"/>
      <w:outlineLvl w:val="2"/>
    </w:pPr>
    <w:rPr>
      <w:rFonts w:ascii="Malgun Gothic" w:cs="Malgun Gothic" w:eastAsia="Malgun Gothic" w:hAnsi="Malgun Gothic"/>
      <w:b/>
      <w:bCs/>
      <w:color w:val="1B6C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2026-04-18T14:19:59.099Z</dcterms:created>
  <dcterms:modified xsi:type="dcterms:W3CDTF">2026-04-18T14:19:59.100Z</dcterms:modified>
</cp:coreProperties>
</file>

<file path=docProps/custom.xml><?xml version="1.0" encoding="utf-8"?>
<Properties xmlns="http://schemas.openxmlformats.org/officeDocument/2006/custom-properties" xmlns:vt="http://schemas.openxmlformats.org/officeDocument/2006/docPropsVTypes"/>
</file>