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6c91883a65864a05c4c72e1e68700055fe343a"/>
    <w:p>
      <w:pPr>
        <w:pStyle w:val="1"/>
      </w:pPr>
      <w:r>
        <w:rPr>
          <w:rFonts w:ascii="Times New Roman" w:hAnsi="Times New Roman" w:cs="Times New Roman" w:eastAsia="Times New Roman"/>
        </w:rPr>
        <w:t xml:space="preserve">Методология работы групп: от риска к ТЗ на НИОКР в области БАС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Методология для интенсива «Архипелаг 2026», семь рабочих дней. Документ описывает, как люди работают между собой и с ИИ-агентами: форматы сессий, пошаговые сценарии каждого этапа и план по дням. Основан на фреймворке «От риска к техническому заданию».</w:t>
      </w:r>
    </w:p>
    <w:bookmarkStart w:id="9" w:name="суть-процесса"/>
    <w:p>
      <w:pPr>
        <w:pStyle w:val="2"/>
      </w:pPr>
      <w:r>
        <w:rPr>
          <w:rFonts w:ascii="Times New Roman" w:hAnsi="Times New Roman" w:cs="Times New Roman" w:eastAsia="Times New Roman"/>
        </w:rPr>
        <w:t xml:space="preserve">1. Суть процесса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Каждая группа берёт значимый риск в области БАС и проводит его через три этапа: формулирует, что именно угрожает (этап 1), выясняет, что из существующих решений риск закрывает и где остаётся провал (этап 2), вырабатывает НИОКР, который снимает остаточный риск, и оформляет техническое задание (этап 3). На каждом этапе ИИ-агенты готовят аналитику, люди её проверяют и собирают в решение, а переход на следующий этап совершает ответственный руководитель группы - ЛПР. Единица работы - траектория «группа на риск»; траектории идут параллельно.</w:t>
      </w:r>
    </w:p>
    <w:bookmarkEnd w:id="9"/>
    <w:bookmarkStart w:id="10" w:name="роли-людей"/>
    <w:p>
      <w:pPr>
        <w:pStyle w:val="2"/>
      </w:pPr>
      <w:r>
        <w:rPr>
          <w:rFonts w:ascii="Times New Roman" w:hAnsi="Times New Roman" w:cs="Times New Roman" w:eastAsia="Times New Roman"/>
        </w:rPr>
        <w:t xml:space="preserve">2. Роли людей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Роль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Кто это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За что отвечает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ЛПР группы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Руководитель с правом решения (1-2 на группу)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Решения на гейтах: значимость риска, приемлемость остаточного риска, выбор направления НИОКР, утверждение ТЗ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Сборщики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Конструкторы и аналитики группы (4-6 человек)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Работа с панелями агентов: проверка данных, дозапросы, сборка доклада для ЛПР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Эксперт группы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Отраслевой специалист по БАС (1-2 на группу)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Содержательная экспертиза: реалистичность характеристик, оценка решений, критика вариантов НИОКР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Модератор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Ведущий процесса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Темп и полнота: открывает сессии, доводит панели до точки решения, не даёт схлопнуть разногласия, созывает гейты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Оператор среды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Технический специалист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Цифровая среда, настройка агентов, доступы, фиксация артефактов</w:t>
            </w:r>
          </w:p>
        </w:tc>
      </w:tr>
    </w:tbl>
    <w:p>
      <w:pPr>
        <w:pStyle w:val="a0"/>
      </w:pPr>
      <w:r>
        <w:rPr>
          <w:rFonts w:ascii="Times New Roman" w:hAnsi="Times New Roman" w:cs="Times New Roman" w:eastAsia="Times New Roman"/>
        </w:rPr>
        <w:t xml:space="preserve">Принцип разделения труда: всё вычислимое делают агенты, всё содержательное проверяют сборщики и эксперт, все решения принимает ЛПР. Модератор управляет процессом, но не содержанием.</w:t>
      </w:r>
    </w:p>
    <w:bookmarkEnd w:id="10"/>
    <w:bookmarkStart w:id="11" w:name="группы-и-их-критерии"/>
    <w:p>
      <w:pPr>
        <w:pStyle w:val="2"/>
      </w:pPr>
      <w:r>
        <w:rPr>
          <w:rFonts w:ascii="Times New Roman" w:hAnsi="Times New Roman" w:cs="Times New Roman" w:eastAsia="Times New Roman"/>
        </w:rPr>
        <w:t xml:space="preserve">3. Группы и их критерии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Три группы работают параллельно по единой механике: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Группа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Фокус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Что считается значимым риском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Гражданские ЛПР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Рынок БАС, экономика применения, регуляторика, сертификация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Риск, блокирующий коммерческое применение или масштабирование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Военные ЛПР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Оборонные требования, ТТХ, живучесть, защищённость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Риск, снижающий боевую эффективность или живучесть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Народный ОПК и НТИ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Низовая разработка, импортозамещение, дешёвый масштаб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Риск, ломающий доступность компонентов или массовое производство</w:t>
            </w:r>
          </w:p>
        </w:tc>
      </w:tr>
    </w:tbl>
    <w:p>
      <w:pPr>
        <w:pStyle w:val="a0"/>
      </w:pPr>
      <w:r>
        <w:rPr>
          <w:rFonts w:ascii="Times New Roman" w:hAnsi="Times New Roman" w:cs="Times New Roman" w:eastAsia="Times New Roman"/>
        </w:rPr>
        <w:t xml:space="preserve">В первый день каждая группа письменно фиксирует свои критерии значимости риска и приемлемости остаточного риска - без этого гейты превращаются в спор о вкусах.</w:t>
      </w:r>
    </w:p>
    <w:bookmarkEnd w:id="11"/>
    <w:bookmarkStart w:id="12" w:name="как-люди-работают-с-ии-шесть-правил"/>
    <w:p>
      <w:pPr>
        <w:pStyle w:val="2"/>
      </w:pPr>
      <w:r>
        <w:rPr>
          <w:rFonts w:ascii="Times New Roman" w:hAnsi="Times New Roman" w:cs="Times New Roman" w:eastAsia="Times New Roman"/>
        </w:rPr>
        <w:t xml:space="preserve">4. Как люди работают с ИИ: шесть правил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ИИ ходит первым.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Люди не пишут аналитику с чистого листа: агент даёт черновик (реестр, карту, варианты), человек проверяет, дозапрашивает и правит. Время людей тратится на проверку и суждение, не на сбор.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Ни один факт без проверки.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Вывод агента попадает в доклад ЛПР только после того, как сборщик проверил источник. Непроверенное помечается как непроверенное.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Дозапрос вместо переделки.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Если разбор агента не устраивает, сборщик не переписывает его руками, а уточняет запрос: «покажи источник», «разбери для условий X», «дай контрпример». Руками пишутся только выводы людей.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Оппонент обязателен.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Ключевой вывод не считается проверенным, пока его не атаковал агент-Оппонент и атаку не разобрали люди. Выдержал атаку - подтверждён; не выдержал - переработка; атака спорная - фиксируется разногласие.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Разногласия не стираются.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Если эксперт и агент (или два сборщика) разошлись, обе позиции доносятся до ЛПР дословно. Сводить разногласие в решение - право только ЛПР.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Агенты не решают.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Постановка цели, критерии, выбор под неопределённостью, ответственность - только у людей. Агент-Контролёр следит, чтобы формулировки решений гейтов писал человек.</w:t>
      </w:r>
    </w:p>
    <w:bookmarkEnd w:id="12"/>
    <w:bookmarkStart w:id="16" w:name="три-формата-работы"/>
    <w:p>
      <w:pPr>
        <w:pStyle w:val="2"/>
      </w:pPr>
      <w:r>
        <w:rPr>
          <w:rFonts w:ascii="Times New Roman" w:hAnsi="Times New Roman" w:cs="Times New Roman" w:eastAsia="Times New Roman"/>
        </w:rPr>
        <w:t xml:space="preserve">5. Три формата работы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Вся работа интенсива складывается из трёх повторяющихся форматов. Этапы различаются содержанием, но механика сессий одна - участники быстро её осваивают.</w:t>
      </w:r>
    </w:p>
    <w:bookmarkStart w:id="13" w:name="X2c2d555413b502fe847b90aeb34aaf4509ebeea"/>
    <w:p>
      <w:pPr>
        <w:pStyle w:val="3"/>
      </w:pPr>
      <w:r>
        <w:rPr>
          <w:rFonts w:ascii="Times New Roman" w:hAnsi="Times New Roman" w:cs="Times New Roman" w:eastAsia="Times New Roman"/>
        </w:rPr>
        <w:t xml:space="preserve">Формат А. Сессия панели: люди вместе с агентами, 60-90 минут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Участники: сборщики, эксперт, модератор, оператор. Цель: довести черновой разбор агентов до проверенного материала.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Модератор открывает сессию: какая траектория, какой вопрос этапа, что должно быть на выходе (5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Агенты к началу сессии уже отработали - черновой разбор лежит в среде. Сборщики молча читают его и помечают каждый у себя: чему не верю, чего не хватает, что спорно (10-15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Круг дозапросов: сборщики по очереди задают агентам уточнения через среду - источник, расчёт, альтернатива, контрпример. Ответы агентов разбираются сразу (20-30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Эксперт даёт содержательную оценку: где агенты пропустили суть, где формулировка подменена симптомом (10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Атака Оппонента: сборщики направляют Оппонента на ключевые выводы; разбирают, что выдержало атаку (15-20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Фиксация: модератор закрывает сессию тремя списками - подтверждено, отброшено, спорно. Списки пишет человек, не агент (10 минут).</w:t>
      </w:r>
    </w:p>
    <w:bookmarkEnd w:id="13"/>
    <w:bookmarkStart w:id="14" w:name="формат-б.-сборка-только-люди-45-60-минут"/>
    <w:p>
      <w:pPr>
        <w:pStyle w:val="3"/>
      </w:pPr>
      <w:r>
        <w:rPr>
          <w:rFonts w:ascii="Times New Roman" w:hAnsi="Times New Roman" w:cs="Times New Roman" w:eastAsia="Times New Roman"/>
        </w:rPr>
        <w:t xml:space="preserve">Формат Б. Сборка: только люди, 45-60 минут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Участники: сборщики, эксперт. Агенты не участвуют - это сознательно: доклад ЛПР собирают люди из проверенного материала.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Назначается докладчик по траектории.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Сборщики собирают доклад: суть, верхние позиции с обоснованием, спорные пункты отдельным блоком с обеими позициями.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Эксперт вычитывает: не потерялись ли оговорки, не усреднились ли разногласия.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Докладчик прогоняет доклад вслух на группе - 10 минут, не дольше: что не уложилось в 10 минут, не готово для ЛПР.</w:t>
      </w:r>
    </w:p>
    <w:bookmarkEnd w:id="14"/>
    <w:bookmarkStart w:id="15" w:name="X4aa778ce358431ab5401b6efc3d27d02a9ad39c"/>
    <w:p>
      <w:pPr>
        <w:pStyle w:val="3"/>
      </w:pPr>
      <w:r>
        <w:rPr>
          <w:rFonts w:ascii="Times New Roman" w:hAnsi="Times New Roman" w:cs="Times New Roman" w:eastAsia="Times New Roman"/>
        </w:rPr>
        <w:t xml:space="preserve">Формат В. Гейт: решение ЛПР, 30-45 минут на траекторию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Участники: ЛПР, докладчик, эксперт, модератор. Цель: принятое и зафиксированное решение.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Доклад - 10 минут.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Вопросы ЛПР. При необходимости докладчик вызывает разбор агента на экран, но отвечает сам.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Спорные пункты зачитываются как есть, обе позиции.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ЛПР принимает решение и проговаривает мотивировку.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Решение фиксируется письменно в карточке траектории: формулировка, мотивировка, дата, кто принял. Незафиксированное решение считается непринятым. Перенос решения допускается один раз.</w:t>
      </w:r>
    </w:p>
    <w:bookmarkEnd w:id="15"/>
    <w:bookmarkEnd w:id="16"/>
    <w:bookmarkStart w:id="17" w:name="этап-1.-риски-что-именно-угрожает"/>
    <w:p>
      <w:pPr>
        <w:pStyle w:val="2"/>
      </w:pPr>
      <w:r>
        <w:rPr>
          <w:rFonts w:ascii="Times New Roman" w:hAnsi="Times New Roman" w:cs="Times New Roman" w:eastAsia="Times New Roman"/>
        </w:rPr>
        <w:t xml:space="preserve">6. Этап 1. Риски: что именно угрожает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Цель: реестр рисков группы и открытые траектории с целями. Состав: одна-две сессии панели, одна сборка, один гейт.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Перед этапом агенты Разведчик и Аналитик по фокусу группы собирают сигналы из отраслевой базы знаний и формируют черновой реестр рисков с ранжированием.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Шаги людей: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Сессия панели по реестру (формат А). Сборщики проверяют каждый риск: достоверность источников, дубли, соответствие фокусу группы. Дозапросы Аналитику: чем подтверждена острота, на какой выборке посчитана метрика. Эксперт помечает риски, где угроза подменена симптомом или модным словом. На каждый оставшийся риск заполняется карточка: формулировка угрозы, кого касается, чем подтверждается.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Если рисков много или качество чернового реестра низкое - вторая сессия панели после доработки агентами по дозапросам.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Сборка (формат Б): ранжирование по критериям группы, доклад с верхними 6 рисками и спорными карточками отдельно.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Гейт 1 (формат В). Решение ЛПР: какие риски реальны и значимы. ЛПР открывает траектории и по каждой формулирует цель - что должно перестать угрожать.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Выход: реестр рисков и 6 открытых траекторий с целями ЛПР.</w:t>
      </w:r>
    </w:p>
    <w:bookmarkEnd w:id="17"/>
    <w:bookmarkStart w:id="18" w:name="Xe65eaf3b413eeb999aafcc0d8fa08dd6bcaefbd"/>
    <w:p>
      <w:pPr>
        <w:pStyle w:val="2"/>
      </w:pPr>
      <w:r>
        <w:rPr>
          <w:rFonts w:ascii="Times New Roman" w:hAnsi="Times New Roman" w:cs="Times New Roman" w:eastAsia="Times New Roman"/>
        </w:rPr>
        <w:t xml:space="preserve">7. Этап 2. Существующие решения: что уже закрывает риск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Цель: по каждой траектории - карта решений и формулировка разрыва. Состав на траекторию: одна сессия панели, сборка, гейт. Траектории идут волнами: пока одна на гейте, следующая на панели.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Перед сессией агент-Исследователь строит карту существующих решений (изделия, патенты, рынок, заделы) и показывает, какую часть риска каждое закрывает; Оппонент заранее атакует карту - где характеристики не подтверждены, где решение живёт только в презентациях.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Шаги людей: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Сессия панели по карте (формат А). Сборщики проверяют ключевые решения: есть ли изделие в железе, стадия зрелости, доступность в текущих условиях - санкции, компоненты, лицензии. Недоступное помечается, а не вычёркивается: недоступность сама может оказаться отдельным риском. Дозапросы Исследователю: подтверждение характеристик, аналоги, стадия серийности.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Эксперт формулирует разрыв явно: «существующие решения закрывают X, не закрывают Y, потому что Z». Это главная фраза этапа - её пишет человек.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Сборка (формат Б): карта решений, формулировка остаточного риска, позиция Оппонента с сохранением разногласий.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Гейт 2 (формат В). Решение ЛПР - один из трёх исходов:</w:t>
      </w:r>
    </w:p>
    <w:p>
      <w:pPr>
        <w:pStyle w:val="Compact"/>
        <w:numPr>
          <w:ilvl w:val="1"/>
          <w:numId w:val="1007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остаточный риск приемлем - траектория закрывается в портфель как «закрыто существующими решениями» с планом их развития;</w:t>
      </w:r>
    </w:p>
    <w:p>
      <w:pPr>
        <w:pStyle w:val="Compact"/>
        <w:numPr>
          <w:ilvl w:val="1"/>
          <w:numId w:val="1007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остаточный риск неприемлем - траектория идёт на этап 3, ЛПР формулирует, что должен снять будущий НИОКР;</w:t>
      </w:r>
    </w:p>
    <w:p>
      <w:pPr>
        <w:pStyle w:val="Compact"/>
        <w:numPr>
          <w:ilvl w:val="1"/>
          <w:numId w:val="1007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данных недостаточно - возврат на панель с конкретным вопросом, один раз.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Выход: карты решений и разрывы по всем траекториям; на этап 3 уходит 3 траектории на группу.</w:t>
      </w:r>
    </w:p>
    <w:bookmarkEnd w:id="18"/>
    <w:bookmarkStart w:id="19" w:name="X719dfd5231e2fc5ad5057bdd3a064266aeb4e54"/>
    <w:p>
      <w:pPr>
        <w:pStyle w:val="2"/>
      </w:pPr>
      <w:r>
        <w:rPr>
          <w:rFonts w:ascii="Times New Roman" w:hAnsi="Times New Roman" w:cs="Times New Roman" w:eastAsia="Times New Roman"/>
        </w:rPr>
        <w:t xml:space="preserve">8. Этап 3. Перспективный НИОКР: от вариантов к ТЗ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Цель: выбранное направление и утверждённое ТЗ. Состав на траекторию: сессия панели по вариантам, сборка, гейт выбора, сессия сборки ТЗ, гейт утверждения.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Перед сессией агенты готовят 2-3 варианта НИОКР, каждый сразу по двум дорожкам: дорожка А - железо и софт (платформа, ПО, состав изделия, характеристики, этапы), дорожка Б - внедрение (кто и через какой институт внедряет, защита интеллектуальной собственности, удержание результата в эксплуатации). Оппонент проводит состязательный разбор вариантов, Планировщик декомпозирует на этапы и контрольные точки, Аудитор проверяет качество выводов и чистоту по интеллектуальной собственности.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Шаги людей: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Сессия панели по вариантам (формат А). Сборщики проверяют реалистичность характеристик и сроков; дорожку Б сверяют с реальностью: названный институт существует и способен взять работу. Эксперт даёт заключение по каждому варианту: достижимо, достижимо с оговорками, не достижимо в заявленные сроки - оговорки явно.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Сборка сравнительного доклада (формат Б): варианты рядом, по обеим дорожкам, с позицией Оппонента и заключением эксперта. Разногласия показываются, не усредняются.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Гейт 3а - выбор направления (формат В). Это ставка в условиях неопределённости: когда расчёт не даёт однозначного ответа, выбирает ЛПР, и выбор фиксируется с мотивировкой.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Сборка ТЗ. Сборщики с Планировщиком наполняют шаблон ТЗ (раздел 10): Планировщик даёт черновик этапов и контрольных точек, сборщики проверяют и дописывают, эксперт вычитывает, Аудитор проверяет прослеживаемость - ТЗ ссылается на риск и разрыв, которые снимает. Это самый длинный блок ручной работы интенсива: закладывать от половины дня на одно ТЗ.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Гейт 3б - утверждение ТЗ (формат В). ЛПР утверждает, только если ТЗ проходит критерии приёмки (раздел 11). Утверждение - подпись ответственного лица. Если хотя бы один критерий не выполнен - возврат с конкретным замечанием; утверждение «в целом, с доработкой потом» не допускается.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Выход: одно-два утверждённых ТЗ на группу.</w:t>
      </w:r>
    </w:p>
    <w:bookmarkEnd w:id="19"/>
    <w:bookmarkStart w:id="20" w:name="план-по-дням-семь-дней"/>
    <w:p>
      <w:pPr>
        <w:pStyle w:val="2"/>
      </w:pPr>
      <w:r>
        <w:rPr>
          <w:rFonts w:ascii="Times New Roman" w:hAnsi="Times New Roman" w:cs="Times New Roman" w:eastAsia="Times New Roman"/>
        </w:rPr>
        <w:t xml:space="preserve">9. План по дням: семь дней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Сетка единая для трёх групп, группы идут параллельно. Утренний блок примерно 10:00-13:00, дневной 14:00-18:00. Каждый день начинается с пятнадцатиминутного стендапа модератора: статус траекторий на доске, что сегодня доводится до гейта.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1 - установка и запуск.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вводная по механике процесса и ролям; группы фиксируют письменно свои критерии значимости и приемлемости риска; обучение работе со средой.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тренировочная траектория - каждая группа прогоняет сессию панели на учебном примере, чтобы освоить дозапросы агентам и работу с Оппонентом; разбор ошибок с модератором.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Вечер: оператор запускает панели этапа 1 - Разведчик и Аналитик за ночь готовят черновые реестры рисков по фокусам групп.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2 - этап 1, риски.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сессия панели по реестру рисков (формат А).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при необходимости вторая сессия после доработки агентами; затем сборка доклада (формат Б).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Конец дня: гейт 1 - ЛПР утверждает значимые риски и открывает 6 траекторий с целями. Оператор на ночь запускает Исследователя и Оппонента по первой волне траекторий (3 штуки).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3 - этап 2, первая волна.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сессии панели по картам решений траекторий 1-3.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сборки по готовым траекториям; первые гейты 2 по готовности - не ждать, пока готовы все.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Вечер: запуск агентов по второй волне (траектории 4-6).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4 - этап 2, вторая волна.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сессии панели по траекториям 4-6.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сборки и оставшиеся гейты 2.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Конец дня: у каждой группы определены 3 траектории, идущие на этап 3, с формулировками разрывов. Оператор на ночь запускает панель «Стратегия»: генерация вариантов НИОКР по двум дорожкам, разбор Оппонентом, декомпозиция Планировщиком.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5 - этап 3, выбор направления.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сессия панели по вариантам НИОКР (формат А) - проверка реалистичности, заключения эксперта.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сборка сравнительного доклада.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Конец дня: гейт 3а - ЛПР выбирает направления и фиксирует мотивировку. Группа решает, сколько ТЗ собирает: одно или два.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6 - сборка ТЗ.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 и день: сборка ТЗ с Планировщиком по шаблону; вычитка экспертом; проверка Аудитором на прослеживаемость и чистоту по интеллектуальной собственности.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Конец дня: гейт 3б по готовым ТЗ. Возвраты с замечаниями - в работу на утро дня 7.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7 - утверждение и финализация.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доработка ТЗ по замечаниям, повторные гейты 3б.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финализация портфелей - реестр рисков, карты решений, список НИОКР, журнал решений всех гейтов; проверка прослеживаемости каждого ТЗ назад до риска.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Вечер: представление результатов - каждая группа показывает портфель и 1-2 ТЗ, ЛПР объясняет логику своих ставок.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Нагрузка ЛПР по дням: пиковые дни - 2, 4, 5 и 7 (гейты, около двух-трёх часов). Если ЛПР доступен меньше, сокращается число траекторий, а не глубина проработки. Воронка на 7 дней: 6 траекторий на старте, 3 на этапе 3, 1-2 полных ТЗ на группу; итого по интенсиву 3-6 утверждённых ТЗ.</w:t>
      </w:r>
    </w:p>
    <w:bookmarkEnd w:id="20"/>
    <w:bookmarkStart w:id="21" w:name="структура-тз"/>
    <w:p>
      <w:pPr>
        <w:pStyle w:val="2"/>
      </w:pPr>
      <w:r>
        <w:rPr>
          <w:rFonts w:ascii="Times New Roman" w:hAnsi="Times New Roman" w:cs="Times New Roman" w:eastAsia="Times New Roman"/>
        </w:rPr>
        <w:t xml:space="preserve">10. Структура ТЗ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ТЗ на НИОКР [группа, риск]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Основание и снимаемый риск - ссылка на карточку риска и решение гейта 1.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Чего не закрывают существующие решения - формулировка разрыва из гейта 2.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Цель НИОКР - как именно снимается остаточный риск, проверяемый критерий успеха.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Дорожка А, железо и софт: состав изделия, характеристики, ПО, связь, автономность; этапы и контрольные точки; критерии приёмки каждого этапа.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Дорожка Б, внедрение: кто и через какой институт внедряет; стратегия по интеллектуальной собственности; как результат удерживается в эксплуатации, а не оседает в отчёте.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Ресурсы, сроки, риски самого НИОКР.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Утверждение ответственным лицом: подпись, дата, мотивировка выбора направления.</w:t>
      </w:r>
    </w:p>
    <w:bookmarkEnd w:id="21"/>
    <w:bookmarkStart w:id="22" w:name="критерии-приёмки-тз"/>
    <w:p>
      <w:pPr>
        <w:pStyle w:val="2"/>
      </w:pPr>
      <w:r>
        <w:rPr>
          <w:rFonts w:ascii="Times New Roman" w:hAnsi="Times New Roman" w:cs="Times New Roman" w:eastAsia="Times New Roman"/>
        </w:rPr>
        <w:t xml:space="preserve">11. Критерии приёмки ТЗ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ТЗ принимается на гейте 3б, только если выполнены все пункты: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Прослеживаемость: ТЗ ссылается на конкретный риск из реестра и формулировку разрыва из этапа 2.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Проверяемость цели: по завершении работ можно однозначно сказать, снят остаточный риск или нет.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Обе дорожки заполнены содержательно: в дорожке Б назван реальный внедряющий институт и понятен механизм удержания результата.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Этапы имеют контрольные точки с критериями приёмки, а не только сроками.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Названы ресурсы и ограничения; риски самого НИОКР перечислены с реакцией на каждый.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Оставшиеся разногласия записаны в ТЗ, а не стёрты.</w:t>
      </w:r>
    </w:p>
    <w:bookmarkEnd w:id="22"/>
    <w:bookmarkStart w:id="23" w:name="правила-процесса"/>
    <w:p>
      <w:pPr>
        <w:pStyle w:val="2"/>
      </w:pPr>
      <w:r>
        <w:rPr>
          <w:rFonts w:ascii="Times New Roman" w:hAnsi="Times New Roman" w:cs="Times New Roman" w:eastAsia="Times New Roman"/>
        </w:rPr>
        <w:t xml:space="preserve">12. Правила процесса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Решения только письменно: формулировка, мотивировка, дата, кто принял - в карточке траектории.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Разногласия сохраняются до ЛПР в исходном виде; сводить их в решение - право только ЛПР.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Один возврат на доработку: после повторного выхода с панели ЛПР решает по имеющимся данным.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Воронка сужается честно: закрытие траектории «существующих решений достаточно» - полноценный результат, не неудача.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Контур данных: группа военных ЛПР работает в отдельном контуре; перечень допустимых для общей среды данных согласуется до интенсива, чувствительные ТТХ в общую базу знаний не попадают.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Темп держит модератор: траектория, зависшая дольше норматива, выносится на ближайший гейт с тем, что есть.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Агенты работают ночью, люди днём: тяжёлые прогоны агентов (реестры, карты, варианты) запускаются вечером, чтобы утренние сессии начинались с готового материала.</w:t>
      </w:r>
    </w:p>
    <w:bookmarkEnd w:id="23"/>
    <w:bookmarkStart w:id="24" w:name="результаты-интенсива"/>
    <w:p>
      <w:pPr>
        <w:pStyle w:val="2"/>
      </w:pPr>
      <w:r>
        <w:rPr>
          <w:rFonts w:ascii="Times New Roman" w:hAnsi="Times New Roman" w:cs="Times New Roman" w:eastAsia="Times New Roman"/>
        </w:rPr>
        <w:t xml:space="preserve">13. Результаты интенсива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Три портфеля, по одному на группу: реестр рисков, карты существующих решений, приоритизированный список перспективных НИОКР, включая траектории, закрытые существующими решениями.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От трёх до шести утверждённых ТЗ, прошедших критерии приёмки.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Полная прослеживаемость: от каждого ТЗ - назад к разрыву, риску и решениям ЛПР на каждом гейте.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Журнал решений: все гейты всех траекторий с формулировками и мотивировками.</w:t>
      </w:r>
    </w:p>
    <w:bookmarkEnd w:id="24"/>
    <w:bookmarkEnd w:id="25"/>
    <w:sectPr w:rsidR="001A1CCB" w:rsidRPr="00C831AC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A844D6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2170508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31433853" w:numId="1">
    <w:abstractNumId w:val="0"/>
  </w:num>
  <w:num w16cid:durableId="1212695773" w:numId="2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CCB"/>
    <w:rsid w:val="000820CD"/>
    <w:rsid w:val="001A1CCB"/>
    <w:rsid w:val="002B6A41"/>
    <w:rsid w:val="00353141"/>
    <w:rsid w:val="003934CF"/>
    <w:rsid w:val="004B36C6"/>
    <w:rsid w:val="00A41DC9"/>
    <w:rsid w:val="00A432CF"/>
    <w:rsid w:val="00C831AC"/>
    <w:rsid w:val="00D27BB1"/>
    <w:rsid w:val="00DE325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pPr>
      <w:spacing w:line="276" w:lineRule="auto" w:after="120" w:before="0"/>
    </w:pPr>
    <w:rPr>
      <w:rFonts w:ascii="Times New Roman" w:hAnsi="Times New Roman" w:cs="Times New Roman" w:eastAsia="Times New Roman"/>
      <w:sz w:val="24"/>
    </w:rPr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160" w:before="280"/>
      <w:ind w:firstLine="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b/>
      <w:color w:themeColor="accent1" w:themeShade="BF" w:val="0F4761"/>
      <w:sz w:val="32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160" w:before="280"/>
      <w:ind w:firstLine="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b/>
      <w:color w:themeColor="accent1" w:themeShade="BF" w:val="0F4761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160" w:before="280"/>
      <w:ind w:firstLine="0"/>
      <w:outlineLvl w:val="2"/>
    </w:pPr>
    <w:rPr>
      <w:rFonts w:cstheme="majorBidi" w:eastAsiaTheme="majorEastAsia" w:ascii="Times New Roman" w:hAnsi="Times New Roman" w:cs="Times New Roman" w:eastAsia="Times New Roman"/>
      <w:b/>
      <w:color w:themeColor="accent1" w:themeShade="BF" w:val="0F4761"/>
      <w:sz w:val="26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cs="Times New Roman" w:eastAsia="Times New Roman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cs="Times New Roman" w:eastAsia="Times New Roman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cs="Times New Roman" w:eastAsia="Times New Roman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cs="Times New Roman" w:eastAsia="Times New Roman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cs="Times New Roman" w:eastAsia="Times New Roman"/>
      <w:color w:themeColor="text1" w:themeTint="D8" w:val="272727"/>
    </w:rPr>
  </w:style>
  <w:style w:default="1" w:styleId="a1" w:type="character">
    <w:rPr>
      <w:rFonts w:ascii="Times New Roman" w:hAnsi="Times New Roman" w:cs="Times New Roman" w:eastAsia="Times New Roman"/>
    </w:rPr>
    <w:name w:val="Default Paragraph Font"/>
    <w:uiPriority w:val="1"/>
    <w:semiHidden/>
    <w:unhideWhenUsed/>
  </w:style>
  <w:style w:default="1" w:styleId="a2" w:type="table">
    <w:rPr>
      <w:rFonts w:ascii="Times New Roman" w:hAnsi="Times New Roman" w:cs="Times New Roman" w:eastAsia="Times New Roman"/>
    </w:rPr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rPr>
      <w:rFonts w:ascii="Times New Roman" w:hAnsi="Times New Roman" w:cs="Times New Roman" w:eastAsia="Times New Roman"/>
    </w:rPr>
    <w:name w:val="No List"/>
    <w:uiPriority w:val="99"/>
    <w:semiHidden/>
    <w:unhideWhenUsed/>
  </w:style>
  <w:style w:styleId="a0" w:type="paragraph">
    <w:rPr>
      <w:rFonts w:ascii="Times New Roman" w:hAnsi="Times New Roman" w:cs="Times New Roman" w:eastAsia="Times New Roman"/>
      <w:sz w:val="24"/>
    </w:rPr>
    <w:name w:val="Body Text"/>
    <w:basedOn w:val="a"/>
    <w:qFormat/>
    <w:pPr>
      <w:spacing w:after="120" w:before="0" w:line="276" w:lineRule="auto"/>
      <w:ind w:firstLine="709"/>
      <w:jc w:val="both"/>
    </w:pPr>
  </w:style>
  <w:style w:customStyle="1" w:styleId="FirstParagraph" w:type="paragraph">
    <w:pPr>
      <w:spacing w:line="276" w:lineRule="auto" w:after="120" w:before="0"/>
      <w:ind w:firstLine="709"/>
      <w:jc w:val="both"/>
    </w:pPr>
    <w:rPr>
      <w:rFonts w:ascii="Times New Roman" w:hAnsi="Times New Roman" w:cs="Times New Roman" w:eastAsia="Times New Roman"/>
      <w:sz w:val="24"/>
    </w:rPr>
    <w:name w:val="First Paragraph"/>
    <w:basedOn w:val="a0"/>
    <w:next w:val="a0"/>
    <w:qFormat/>
  </w:style>
  <w:style w:customStyle="1" w:styleId="Compact" w:type="paragraph">
    <w:rPr>
      <w:rFonts w:ascii="Times New Roman" w:hAnsi="Times New Roman" w:cs="Times New Roman" w:eastAsia="Times New Roman"/>
      <w:sz w:val="24"/>
    </w:rPr>
    <w:name w:val="Compact"/>
    <w:basedOn w:val="a0"/>
    <w:qFormat/>
    <w:pPr>
      <w:spacing w:after="120" w:before="0" w:line="276" w:lineRule="auto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160" w:before="0"/>
      <w:ind w:firstLine="0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b/>
      <w:sz w:val="32"/>
      <w:szCs w:val="56"/>
    </w:rPr>
  </w:style>
  <w:style w:customStyle="1" w:styleId="a5" w:type="character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customStyle="1" w:styleId="a7" w:type="character">
    <w:name w:val="Подзаголовок Знак"/>
    <w:basedOn w:val="a1"/>
    <w:link w:val="a6"/>
    <w:uiPriority w:val="11"/>
    <w:rsid w:val="00A10FD9"/>
    <w:rPr>
      <w:rFonts w:cstheme="majorBidi" w:eastAsiaTheme="majorEastAsia" w:ascii="Times New Roman" w:hAnsi="Times New Roman"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a9" w:type="paragraph">
    <w:rPr>
      <w:rFonts w:ascii="Times New Roman" w:hAnsi="Times New Roman" w:cs="Times New Roman" w:eastAsia="Times New Roman"/>
    </w:rPr>
    <w:name w:val="Bibliography"/>
    <w:basedOn w:val="a"/>
    <w:qFormat/>
  </w:style>
  <w:style w:customStyle="1" w:styleId="10" w:type="character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customStyle="1" w:styleId="20" w:type="character">
    <w:name w:val="Заголовок 2 Знак"/>
    <w:basedOn w:val="a1"/>
    <w:link w:val="2"/>
    <w:uiPriority w:val="9"/>
    <w:semiHidden/>
    <w:rsid w:val="00A10FD9"/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customStyle="1" w:styleId="30" w:type="character">
    <w:name w:val="Заголовок 3 Знак"/>
    <w:basedOn w:val="a1"/>
    <w:link w:val="3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customStyle="1" w:styleId="40" w:type="character">
    <w:name w:val="Заголовок 4 Знак"/>
    <w:basedOn w:val="a1"/>
    <w:link w:val="4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i/>
      <w:iCs/>
      <w:color w:themeColor="accent1" w:themeShade="BF" w:val="0F4761"/>
    </w:rPr>
  </w:style>
  <w:style w:customStyle="1" w:styleId="50" w:type="character">
    <w:name w:val="Заголовок 5 Знак"/>
    <w:basedOn w:val="a1"/>
    <w:link w:val="5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accent1" w:themeShade="BF" w:val="0F4761"/>
    </w:rPr>
  </w:style>
  <w:style w:customStyle="1" w:styleId="60" w:type="character">
    <w:name w:val="Заголовок 6 Знак"/>
    <w:basedOn w:val="a1"/>
    <w:link w:val="6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i/>
      <w:iCs/>
      <w:color w:themeColor="text1" w:themeTint="A6" w:val="595959"/>
    </w:rPr>
  </w:style>
  <w:style w:customStyle="1" w:styleId="70" w:type="character">
    <w:name w:val="Заголовок 7 Знак"/>
    <w:basedOn w:val="a1"/>
    <w:link w:val="7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text1" w:themeTint="A6" w:val="595959"/>
    </w:rPr>
  </w:style>
  <w:style w:customStyle="1" w:styleId="80" w:type="character">
    <w:name w:val="Заголовок 8 Знак"/>
    <w:basedOn w:val="a1"/>
    <w:link w:val="8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i/>
      <w:iCs/>
      <w:color w:themeColor="text1" w:themeTint="D8" w:val="272727"/>
    </w:rPr>
  </w:style>
  <w:style w:customStyle="1" w:styleId="90" w:type="character">
    <w:name w:val="Заголовок 9 Знак"/>
    <w:basedOn w:val="a1"/>
    <w:link w:val="9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text1" w:themeTint="D8" w:val="272727"/>
    </w:rPr>
  </w:style>
  <w:style w:styleId="aa" w:type="paragraph">
    <w:rPr>
      <w:rFonts w:ascii="Times New Roman" w:hAnsi="Times New Roman" w:cs="Times New Roman" w:eastAsia="Times New Roman"/>
    </w:rPr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rPr>
      <w:rFonts w:ascii="Times New Roman" w:hAnsi="Times New Roman" w:cs="Times New Roman" w:eastAsia="Times New Roman"/>
    </w:rPr>
    <w:name w:val="footnote text"/>
    <w:basedOn w:val="a"/>
    <w:uiPriority w:val="9"/>
    <w:unhideWhenUsed/>
    <w:qFormat/>
  </w:style>
  <w:style w:customStyle="1" w:styleId="FootnoteBlockText" w:type="paragraph">
    <w:rPr>
      <w:rFonts w:ascii="Times New Roman" w:hAnsi="Times New Roman" w:cs="Times New Roman" w:eastAsia="Times New Roman"/>
    </w:rPr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rPr>
      <w:rFonts w:ascii="Times New Roman" w:hAnsi="Times New Roman" w:cs="Times New Roman" w:eastAsia="Times New Roman"/>
    </w:rPr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rPr>
      <w:rFonts w:ascii="Times New Roman" w:hAnsi="Times New Roman" w:cs="Times New Roman" w:eastAsia="Times New Roman"/>
    </w:rPr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rFonts w:ascii="Times New Roman" w:hAnsi="Times New Roman" w:cs="Times New Roman" w:eastAsia="Times New Roman"/>
      <w:i/>
    </w:rPr>
  </w:style>
  <w:style w:customStyle="1" w:styleId="TableCaption" w:type="paragraph">
    <w:rPr>
      <w:rFonts w:ascii="Times New Roman" w:hAnsi="Times New Roman" w:cs="Times New Roman" w:eastAsia="Times New Roman"/>
    </w:rPr>
    <w:name w:val="Table Caption"/>
    <w:basedOn w:val="ac"/>
    <w:pPr>
      <w:keepNext/>
    </w:pPr>
  </w:style>
  <w:style w:customStyle="1" w:styleId="ImageCaption" w:type="paragraph">
    <w:rPr>
      <w:rFonts w:ascii="Times New Roman" w:hAnsi="Times New Roman" w:cs="Times New Roman" w:eastAsia="Times New Roman"/>
    </w:rPr>
    <w:name w:val="Image Caption"/>
    <w:basedOn w:val="ac"/>
  </w:style>
  <w:style w:customStyle="1" w:styleId="Figure" w:type="paragraph">
    <w:rPr>
      <w:rFonts w:ascii="Times New Roman" w:hAnsi="Times New Roman" w:cs="Times New Roman" w:eastAsia="Times New Roman"/>
    </w:rPr>
    <w:name w:val="Figure"/>
    <w:basedOn w:val="a"/>
  </w:style>
  <w:style w:customStyle="1" w:styleId="CaptionedFigure" w:type="paragraph">
    <w:rPr>
      <w:rFonts w:ascii="Times New Roman" w:hAnsi="Times New Roman" w:cs="Times New Roman" w:eastAsia="Times New Roman"/>
    </w:rPr>
    <w:name w:val="Captioned Figure"/>
    <w:basedOn w:val="Figure"/>
    <w:pPr>
      <w:keepNext/>
    </w:pPr>
  </w:style>
  <w:style w:customStyle="1" w:styleId="ad" w:type="character">
    <w:rPr>
      <w:rFonts w:ascii="Times New Roman" w:hAnsi="Times New Roman" w:cs="Times New Roman" w:eastAsia="Times New Roman"/>
    </w:rPr>
    <w:name w:val="Название объекта Знак"/>
    <w:basedOn w:val="a1"/>
    <w:link w:val="ac"/>
  </w:style>
  <w:style w:customStyle="1" w:styleId="VerbatimChar" w:type="character">
    <w:name w:val="Verbatim Char"/>
    <w:basedOn w:val="ad"/>
    <w:link w:val="SourceCode"/>
    <w:rPr>
      <w:rFonts w:ascii="Times New Roman" w:hAnsi="Times New Roman" w:cs="Times New Roman" w:eastAsia="Times New Roman"/>
      <w:sz w:val="22"/>
    </w:rPr>
  </w:style>
  <w:style w:customStyle="1" w:styleId="SectionNumber" w:type="character">
    <w:rPr>
      <w:rFonts w:ascii="Times New Roman" w:hAnsi="Times New Roman" w:cs="Times New Roman" w:eastAsia="Times New Roman"/>
    </w:rPr>
    <w:name w:val="Section Number"/>
    <w:basedOn w:val="ad"/>
  </w:style>
  <w:style w:styleId="ae" w:type="character">
    <w:name w:val="footnote reference"/>
    <w:basedOn w:val="ad"/>
    <w:rPr>
      <w:rFonts w:ascii="Times New Roman" w:hAnsi="Times New Roman" w:cs="Times New Roman" w:eastAsia="Times New Roman"/>
      <w:vertAlign w:val="superscript"/>
    </w:rPr>
  </w:style>
  <w:style w:styleId="af" w:type="character">
    <w:name w:val="Hyperlink"/>
    <w:basedOn w:val="ad"/>
    <w:rPr>
      <w:rFonts w:ascii="Times New Roman" w:hAnsi="Times New Roman" w:cs="Times New Roman" w:eastAsia="Times New Roman"/>
      <w:color w:themeColor="accent1" w:val="156082"/>
    </w:rPr>
  </w:style>
  <w:style w:styleId="af0" w:type="paragraph">
    <w:rPr>
      <w:rFonts w:ascii="Times New Roman" w:hAnsi="Times New Roman" w:cs="Times New Roman" w:eastAsia="Times New Roman"/>
    </w:rPr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rPr>
      <w:rFonts w:ascii="Times New Roman" w:hAnsi="Times New Roman" w:cs="Times New Roman" w:eastAsia="Times New Roman"/>
    </w:rPr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imes New Roman" w:hAnsi="Times New Roman" w:cs="Times New Roman" w:eastAsia="Times New Roman"/>
      <w:color w:val="902000"/>
      <w:sz w:val="22"/>
    </w:rPr>
  </w:style>
  <w:style w:customStyle="1" w:styleId="DecValTok" w:type="character">
    <w:name w:val="DecVal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BaseNTok" w:type="character">
    <w:name w:val="BaseN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FloatTok" w:type="character">
    <w:name w:val="Float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ConstantTok" w:type="character">
    <w:name w:val="ConstantTok"/>
    <w:basedOn w:val="VerbatimChar"/>
    <w:rPr>
      <w:rFonts w:ascii="Times New Roman" w:hAnsi="Times New Roman" w:cs="Times New Roman" w:eastAsia="Times New Roman"/>
      <w:color w:val="880000"/>
      <w:sz w:val="22"/>
    </w:rPr>
  </w:style>
  <w:style w:customStyle="1" w:styleId="CharTok" w:type="character">
    <w:name w:val="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CharTok" w:type="character">
    <w:name w:val="Special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tringTok" w:type="character">
    <w:name w:val="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imes New Roman" w:hAnsi="Times New Roman" w:cs="Times New Roman" w:eastAsia="Times New Roman"/>
      <w:color w:val="BB6688"/>
      <w:sz w:val="22"/>
    </w:rPr>
  </w:style>
  <w:style w:customStyle="1" w:styleId="ImportTok" w:type="character">
    <w:name w:val="ImportTok"/>
    <w:basedOn w:val="VerbatimChar"/>
    <w:rPr>
      <w:rFonts w:ascii="Times New Roman" w:hAnsi="Times New Roman" w:cs="Times New Roman" w:eastAsia="Times New Roman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imes New Roman" w:hAnsi="Times New Roman" w:cs="Times New Roman" w:eastAsia="Times New Roman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imes New Roman" w:hAnsi="Times New Roman" w:cs="Times New Roman" w:eastAsia="Times New Roman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imes New Roman" w:hAnsi="Times New Roman" w:cs="Times New Roman" w:eastAsia="Times New Roman"/>
      <w:color w:val="007020"/>
      <w:sz w:val="22"/>
    </w:rPr>
  </w:style>
  <w:style w:customStyle="1" w:styleId="FunctionTok" w:type="character">
    <w:name w:val="FunctionTok"/>
    <w:basedOn w:val="VerbatimChar"/>
    <w:rPr>
      <w:rFonts w:ascii="Times New Roman" w:hAnsi="Times New Roman" w:cs="Times New Roman" w:eastAsia="Times New Roman"/>
      <w:color w:val="06287E"/>
      <w:sz w:val="22"/>
    </w:rPr>
  </w:style>
  <w:style w:customStyle="1" w:styleId="VariableTok" w:type="character">
    <w:name w:val="VariableTok"/>
    <w:basedOn w:val="VerbatimChar"/>
    <w:rPr>
      <w:rFonts w:ascii="Times New Roman" w:hAnsi="Times New Roman" w:cs="Times New Roman" w:eastAsia="Times New Roman"/>
      <w:color w:val="19177C"/>
      <w:sz w:val="22"/>
    </w:rPr>
  </w:style>
  <w:style w:customStyle="1" w:styleId="ControlFlowTok" w:type="character">
    <w:name w:val="ControlFlow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imes New Roman" w:hAnsi="Times New Roman" w:cs="Times New Roman" w:eastAsia="Times New Roman"/>
      <w:color w:val="666666"/>
      <w:sz w:val="22"/>
    </w:rPr>
  </w:style>
  <w:style w:customStyle="1" w:styleId="BuiltInTok" w:type="character">
    <w:name w:val="BuiltInTok"/>
    <w:basedOn w:val="VerbatimChar"/>
    <w:rPr>
      <w:rFonts w:ascii="Times New Roman" w:hAnsi="Times New Roman" w:cs="Times New Roman" w:eastAsia="Times New Roman"/>
      <w:color w:val="008000"/>
      <w:sz w:val="22"/>
    </w:rPr>
  </w:style>
  <w:style w:customStyle="1" w:styleId="ExtensionTok" w:type="character">
    <w:name w:val="ExtensionTok"/>
    <w:basedOn w:val="VerbatimChar"/>
    <w:rPr>
      <w:rFonts w:ascii="Times New Roman" w:hAnsi="Times New Roman" w:cs="Times New Roman" w:eastAsia="Times New Roman"/>
      <w:sz w:val="22"/>
    </w:rPr>
  </w:style>
  <w:style w:customStyle="1" w:styleId="PreprocessorTok" w:type="character">
    <w:name w:val="PreprocessorTok"/>
    <w:basedOn w:val="VerbatimChar"/>
    <w:rPr>
      <w:rFonts w:ascii="Times New Roman" w:hAnsi="Times New Roman" w:cs="Times New Roman" w:eastAsia="Times New Roman"/>
      <w:color w:val="BC7A00"/>
      <w:sz w:val="22"/>
    </w:rPr>
  </w:style>
  <w:style w:customStyle="1" w:styleId="AttributeTok" w:type="character">
    <w:name w:val="AttributeTok"/>
    <w:basedOn w:val="VerbatimChar"/>
    <w:rPr>
      <w:rFonts w:ascii="Times New Roman" w:hAnsi="Times New Roman" w:cs="Times New Roman" w:eastAsia="Times New Roman"/>
      <w:color w:val="7D9029"/>
      <w:sz w:val="22"/>
    </w:rPr>
  </w:style>
  <w:style w:customStyle="1" w:styleId="RegionMarkerTok" w:type="character">
    <w:name w:val="RegionMarkerTok"/>
    <w:basedOn w:val="VerbatimChar"/>
    <w:rPr>
      <w:rFonts w:ascii="Times New Roman" w:hAnsi="Times New Roman" w:cs="Times New Roman" w:eastAsia="Times New Roman"/>
      <w:sz w:val="22"/>
    </w:rPr>
  </w:style>
  <w:style w:customStyle="1" w:styleId="InformationTok" w:type="character">
    <w:name w:val="Inform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ErrorTok" w:type="character">
    <w:name w:val="Error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NormalTok" w:type="character">
    <w:name w:val="NormalTok"/>
    <w:basedOn w:val="VerbatimChar"/>
    <w:rPr>
      <w:rFonts w:ascii="Times New Roman" w:hAnsi="Times New Roman" w:cs="Times New Roman"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2026-06-10T10:21:11Z</dcterms:created>
  <dcterms:modified xsi:type="dcterms:W3CDTF">2026-06-10T10:21:11Z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