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c91883a65864a05c4c72e1e68700055fe343a"/>
    <w:p>
      <w:pPr>
        <w:pStyle w:val="1"/>
      </w:pPr>
      <w:r>
        <w:rPr>
          <w:rFonts w:ascii="Times New Roman" w:hAnsi="Times New Roman" w:cs="Times New Roman" w:eastAsia="Times New Roman"/>
        </w:rPr>
        <w:t xml:space="preserve">Методология работы групп: от риска к ТЗ на НИОКР в области БАС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Методология для интенсива «Архипелаг 2026», семь рабочих дней. Документ описывает, как люди работают между собой и с ИИ-агентами: форматы сессий, пошаговые сценарии каждого этапа и план по дням. Основан на фреймворке «От риска к техническому заданию». Рабочий формат — ситуационно-инженерный центр (СИЦ) в цифровой среде Мета-КБ: сборщики получают подготовленные панелями ИИ-агентов данные и собирают из них решение, которое не смог бы выработать ни один эксперт в одиночку.</w:t>
      </w:r>
    </w:p>
    <w:bookmarkStart w:id="9" w:name="суть-процесса"/>
    <w:p>
      <w:pPr>
        <w:pStyle w:val="2"/>
      </w:pPr>
      <w:r>
        <w:rPr>
          <w:rFonts w:ascii="Times New Roman" w:hAnsi="Times New Roman" w:cs="Times New Roman" w:eastAsia="Times New Roman"/>
        </w:rPr>
        <w:t xml:space="preserve">1. Суть процесса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Каждая группа берёт значимый риск в области БАС и проводит его через четыре такта: формулирует, что именно угрожает (этап 1), выясняет, что из существующих решений риск закрывает и где остаётся провал (этап 2), вырабатывает НИОКР, который снимает остаточный риск, оформляет техническое задание (этап 3) и проверяет выбранное направление кодом — гипотеза, алгоритмы, тестбэд или цифровой двойник, тест (такт 4). На каждом этапе ИИ-агенты готовят аналитику, люди её проверяют и собирают в решение, а переход на следующий этап совершает ответственный руководитель группы - ЛПР. Единица работы - траектория «группа на риск»; траектории идут параллельно. На выходе — не просто ТЗ на НИОКР, а ТЗ с экспериментальной проверкой: стартовый уровень готовности технологии TRL 2-3.</w:t>
      </w:r>
    </w:p>
    <w:bookmarkEnd w:id="9"/>
    <w:bookmarkStart w:id="10" w:name="роли-людей"/>
    <w:p>
      <w:pPr>
        <w:pStyle w:val="2"/>
      </w:pPr>
      <w:r>
        <w:rPr>
          <w:rFonts w:ascii="Times New Roman" w:hAnsi="Times New Roman" w:cs="Times New Roman" w:eastAsia="Times New Roman"/>
        </w:rPr>
        <w:t xml:space="preserve">2. Роли людей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Роль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Кто это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За что отвечает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ЛПР группы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Руководитель с правом решения (1-2 на группу)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Решения на гейтах: значимость риска, приемлемость остаточного риска, выбор направления НИОКР, утверждение ТЗ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Сборщики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Конструкторы и аналитики группы (4-6 человек)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Работа с панелями агентов: проверка данных, дозапросы, сборка доклада для ЛПР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Эксперт группы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Отраслевой специалист по БАС (1-2 на группу)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Содержательная экспертиза: реалистичность характеристик, оценка решений, критика вариантов НИОКР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Модератор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Ведущий процесса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Темп и полнота: открывает сессии, доводит панели до точки решения, не даёт схлопнуть разногласия, созывает гейты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Оператор среды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Технический специалист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Среда Мета-КБ: настройка агентов, доступы, фиксация артефактов, репозитории тестбэдов</w:t>
            </w:r>
          </w:p>
        </w:tc>
      </w:tr>
    </w:tbl>
    <w:p>
      <w:pPr>
        <w:pStyle w:val="a0"/>
      </w:pPr>
      <w:r>
        <w:rPr>
          <w:rFonts w:ascii="Times New Roman" w:hAnsi="Times New Roman" w:cs="Times New Roman" w:eastAsia="Times New Roman"/>
        </w:rPr>
        <w:t xml:space="preserve">Принцип разделения труда: всё вычислимое делают агенты, всё содержательное проверяют сборщики и эксперт, все решения принимает ЛПР. Модератор управляет процессом, но не содержанием.</w:t>
      </w:r>
    </w:p>
    <w:bookmarkEnd w:id="10"/>
    <w:bookmarkStart w:id="11" w:name="группы-и-их-критерии"/>
    <w:p>
      <w:pPr>
        <w:pStyle w:val="2"/>
      </w:pPr>
      <w:r>
        <w:rPr>
          <w:rFonts w:ascii="Times New Roman" w:hAnsi="Times New Roman" w:cs="Times New Roman" w:eastAsia="Times New Roman"/>
        </w:rPr>
        <w:t xml:space="preserve">3. Группы и их критерии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Три группы работают параллельно по единой механике: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Группа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Фокус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Что считается значимым риском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Гражданские ЛПР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Рынок БАС, экономика применения, регуляторика, сертификация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блокирующий коммерческое применение или масштабирование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Военные ЛПР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Оборонные требования, ТТХ, живучесть, защищённость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снижающий боевую эффективность или живучесть</w:t>
            </w:r>
          </w:p>
        </w:tc>
      </w:tr>
      <w:tr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Народный ОПК и НТИ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Низовая разработка, импортозамещение, дешёвый масштаб</w:t>
            </w:r>
          </w:p>
        </w:tc>
        <w:tc>
          <w:tcPr/>
          <w:p>
            <w:pPr>
              <w:pStyle w:val="Compact"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Риск, ломающий доступность компонентов или массовое производство</w:t>
            </w:r>
          </w:p>
        </w:tc>
      </w:tr>
    </w:tbl>
    <w:p>
      <w:pPr>
        <w:pStyle w:val="a0"/>
      </w:pPr>
      <w:r>
        <w:rPr>
          <w:rFonts w:ascii="Times New Roman" w:hAnsi="Times New Roman" w:cs="Times New Roman" w:eastAsia="Times New Roman"/>
        </w:rPr>
        <w:t>В первый день каждая группа письменно фиксирует свои критерии значимости риска и приемлемости остаточного риска - без этого гейты превращаются в спор о вкусах. Заготовка критериев по каждой группе даётся из фреймворка «От риска к техническому заданию»; группа дорабатывает её под себя и подписывает как свою.</w:t>
      </w:r>
    </w:p>
    <w:bookmarkEnd w:id="11"/>
    <w:bookmarkStart w:id="12" w:name="как-люди-работают-с-ии-шесть-правил"/>
    <w:p>
      <w:pPr>
        <w:pStyle w:val="2"/>
      </w:pPr>
      <w:r>
        <w:rPr>
          <w:rFonts w:ascii="Times New Roman" w:hAnsi="Times New Roman" w:cs="Times New Roman" w:eastAsia="Times New Roman"/>
        </w:rPr>
        <w:t xml:space="preserve">4. Как люди работают с ИИ: шесть правил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ИИ ходит первым.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Люди не пишут аналитику с чистого листа: агент даёт черновик (реестр, карту, варианты), человек проверяет, дозапрашивает и правит. Время людей тратится на проверку и суждение, не на сбор.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Ни один факт без проверки.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Вывод агента попадает в доклад ЛПР только после того, как сборщик проверил источник. Непроверенное помечается как непроверенное.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Дозапрос вместо переделки.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Если разбор агента не устраивает, сборщик не переписывает его руками, а уточняет запрос: «покажи источник», «разбери для условий X», «дай контрпример». Руками пишутся только выводы людей.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Оппонент обязателен.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Ключевой вывод не считается проверенным, пока его не атаковал агент-Оппонент и атаку не разобрали люди. Выдержал атаку - подтверждён; не выдержал - переработка; атака спорная - фиксируется разногласие.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Разногласия не стираются.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Если эксперт и агент (или два сборщика) разошлись, обе позиции доносятся до ЛПР дословно. Сводить разногласие в решение - право только ЛПР.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 xml:space="preserve">Агенты не решают.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Постановка цели, критерии, выбор под неопределённостью, ответственность - только у людей. Агент-Контролёр следит, чтобы формулировки решений гейтов писал человек.</w:t>
      </w:r>
    </w:p>
    <w:p>
      <w:pPr>
        <w:pStyle w:val="2"/>
      </w:pPr>
      <w:r>
        <w:rPr>
          <w:rFonts w:ascii="Times New Roman" w:hAnsi="Times New Roman" w:cs="Times New Roman" w:eastAsia="Times New Roman"/>
        </w:rPr>
        <w:t>5. Почему эти функции не делегируются ИИ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Агенты доводят анализ до края вычислимого. Дальше — зона человека. Перечисленные в правилах функции не передаются агентам не потому, что агенты слабы, а по существу задачи: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Постановка цели и критериев: человек задаёт, что считать риском и какой результат ценен. Критерий значимости не выводится из данных — его привносит ответственное лицо.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Ответственность: за решение и его последствия отвечает человек. Ответственность не передаётся тому, кто не несёт исхода.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Решение под неопределённостью: перспективный НИОКР — решение в условиях неустранимой неопределённости. Когда расчёт не даёт однозначного ответа, выбор делает человек — это стратегическая ставка, а не вычисление.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Сведение разногласий: эксперты расходятся, и панель честно показывает это расхождение. Свести расхождение в одно принятое и исполняемое решение, за которым пойдёт команда, может только руководитель.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Именно поэтому «ситуационные центры», заменявшие решение расчётом, исторически не давали результата. Здесь расчёт (панель) и решение (гейт) разведены сознательно — это конструктивный принцип СИЦ, а не оговорка.</w:t>
      </w:r>
    </w:p>
    <w:bookmarkEnd w:id="12"/>
    <w:bookmarkStart w:id="16" w:name="три-формата-работы"/>
    <w:p>
      <w:pPr>
        <w:pStyle w:val="2"/>
      </w:pPr>
      <w:r>
        <w:rPr>
          <w:rFonts w:ascii="Times New Roman" w:hAnsi="Times New Roman" w:cs="Times New Roman" w:eastAsia="Times New Roman"/>
        </w:rPr>
        <w:t>6. Четыре формата работы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Вся работа интенсива складывается из четырёх повторяющихся форматов. Этапы различаются содержанием, но механика сессий одна - участники быстро её осваивают.</w:t>
      </w:r>
    </w:p>
    <w:bookmarkStart w:id="13" w:name="X2c2d555413b502fe847b90aeb34aaf4509ebeea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А. Сессия панели: люди вместе с агентами, 60-90 минут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сборщики, эксперт, модератор, оператор. Цель: довести черновой разбор агентов до проверенного материала.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Модератор открывает сессию: какая траектория, какой вопрос этапа, что должно быть на выходе (5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Агенты к началу сессии уже отработали - черновой разбор лежит в среде. Сборщики молча читают его и помечают каждый у себя: чему не верю, чего не хватает, что спорно (10-15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Круг дозапросов: сборщики по очереди задают агентам уточнения через среду - источник, расчёт, альтернатива, контрпример. Ответы агентов разбираются сразу (20-30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даёт содержательную оценку: где агенты пропустили суть, где формулировка подменена симптомом (10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Атака Оппонента: сборщики направляют Оппонента на ключевые выводы; разбирают, что выдержало атаку (15-20 минут).</w:t>
      </w:r>
    </w:p>
    <w:p>
      <w:pPr>
        <w:pStyle w:val="Compact"/>
        <w:numPr>
          <w:ilvl w:val="0"/>
          <w:numId w:val="100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Фиксация: модератор закрывает сессию тремя списками - подтверждено, отброшено, спорно. Списки пишет человек, не агент (10 минут).</w:t>
      </w:r>
    </w:p>
    <w:bookmarkEnd w:id="13"/>
    <w:bookmarkStart w:id="14" w:name="формат-б.-сборка-только-люди-45-60-минут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Б. Сборка: только люди, 45-60 минут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сборщики, эксперт. Агенты не участвуют - это сознательно: доклад ЛПР собирают люди из проверенного материала.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Назначается докладчик по траектории.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Сборщики собирают доклад: суть, верхние позиции с обоснованием, спорные пункты отдельным блоком с обеими позициями.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вычитывает: не потерялись ли оговорки, не усреднились ли разногласия.</w:t>
      </w:r>
    </w:p>
    <w:p>
      <w:pPr>
        <w:pStyle w:val="Compact"/>
        <w:numPr>
          <w:ilvl w:val="0"/>
          <w:numId w:val="1003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Докладчик прогоняет доклад вслух на группе - 10 минут, не дольше: что не уложилось в 10 минут, не готово для ЛПР.</w:t>
      </w:r>
    </w:p>
    <w:bookmarkEnd w:id="14"/>
    <w:bookmarkStart w:id="15" w:name="X4aa778ce358431ab5401b6efc3d27d02a9ad39c"/>
    <w:p>
      <w:pPr>
        <w:pStyle w:val="3"/>
      </w:pPr>
      <w:r>
        <w:rPr>
          <w:rFonts w:ascii="Times New Roman" w:hAnsi="Times New Roman" w:cs="Times New Roman" w:eastAsia="Times New Roman"/>
        </w:rPr>
        <w:t xml:space="preserve">Формат В. Гейт: решение ЛПР, 30-45 минут на траекторию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Участники: ЛПР, докладчик, эксперт, модератор. Цель: принятое и зафиксированное решение.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Доклад - 10 минут.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Вопросы ЛПР. При необходимости докладчик вызывает разбор агента на экран, но отвечает сам.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Спорные пункты зачитываются как есть, обе позиции.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ЛПР принимает решение и проговаривает мотивировку.</w:t>
      </w:r>
    </w:p>
    <w:p>
      <w:pPr>
        <w:pStyle w:val="Compact"/>
        <w:numPr>
          <w:ilvl w:val="0"/>
          <w:numId w:val="1004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Решение фиксируется письменно в карточке траектории: формулировка, мотивировка, дата, кто принял. Незафиксированное решение считается непринятым. Перенос решения допускается один раз.</w:t>
      </w:r>
    </w:p>
    <w:p>
      <w:pPr>
        <w:pStyle w:val="3"/>
      </w:pPr>
      <w:r>
        <w:rPr>
          <w:rFonts w:ascii="Times New Roman" w:hAnsi="Times New Roman" w:cs="Times New Roman" w:eastAsia="Times New Roman"/>
        </w:rPr>
        <w:t>Формат Г. Тестбэд-спринт: люди кодят с агентами, 2-4 часа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Участники: сборщики, эксперт, оператор; агент-Инженер. Цель: проверить гипотезу выбранного направления кодом. Применяется на такте 4 (раздел 10).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Гипотезу пишет человек: «остаточный риск снимается, если алгоритм или контур X даёт показатель Y в условиях Z». Гипотеза привязана к разрыву из этапа 2.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Инженер ходит первым: ищет алгоритмы и открытые реализации, генерирует каркас тестбэда — код, симуляцию или цифровой двойник. Сборщики проверяют допущения и дозапрашивают, как на панели.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Сборщики с Инженером доводят тестбэд и прогоняют тест по заранее записанным критериям. Эксперт следит, чтобы модель не подменила реальность: проверяем риск, а не красивую симуляцию.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Результат фиксируется как есть: подтверждено, частично, не подтверждено. Отрицательный результат — тоже результат: он уточняет ТЗ. Код и условия теста сохраняются в репозитории траектории.</w:t>
      </w:r>
    </w:p>
    <w:bookmarkEnd w:id="15"/>
    <w:bookmarkEnd w:id="16"/>
    <w:bookmarkStart w:id="17" w:name="этап-1.-риски-что-именно-угрожает"/>
    <w:p>
      <w:pPr>
        <w:pStyle w:val="2"/>
      </w:pPr>
      <w:r>
        <w:rPr>
          <w:rFonts w:ascii="Times New Roman" w:hAnsi="Times New Roman" w:cs="Times New Roman" w:eastAsia="Times New Roman"/>
        </w:rPr>
        <w:t>7. Этап 1. Риски: что именно угрожает (панель «Ситуация»)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реестр рисков группы и открытые траектории с целями. Состав: одна-две сессии панели, одна сборка, один гейт.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Перед этапом панель «Ситуация» (агенты Разведчик и Аналитик) по фокусу группы собирает сигналы из отраслевой базы знаний и формирует черновой реестр рисков с ранжированием.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реестру (формат А). Сборщики проверяют каждый риск: достоверность источников, дубли, соответствие фокусу группы. Дозапросы Аналитику: чем подтверждена острота, на какой выборке посчитана метрика. Эксперт помечает риски, где угроза подменена симптомом или модным словом. На каждый оставшийся риск заполняется карточка: формулировка угрозы, кого касается, чем подтверждается.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Если рисков много или качество чернового реестра низкое - вторая сессия панели после доработки агентами по дозапросам.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(формат Б): ранжирование по критериям группы, доклад с верхними 6 рисками и спорными карточками отдельно.</w:t>
      </w:r>
    </w:p>
    <w:p>
      <w:pPr>
        <w:pStyle w:val="Compact"/>
        <w:numPr>
          <w:ilvl w:val="0"/>
          <w:numId w:val="1005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1 (формат В). Решение ЛПР: какие риски реальны и значимы. ЛПР открывает траектории и по каждой формулирует цель - что должно перестать угрожать.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реестр рисков и 6 открытых траекторий с целями ЛПР.</w:t>
      </w:r>
    </w:p>
    <w:bookmarkEnd w:id="17"/>
    <w:bookmarkStart w:id="18" w:name="Xe65eaf3b413eeb999aafcc0d8fa08dd6bcaefbd"/>
    <w:p>
      <w:pPr>
        <w:pStyle w:val="2"/>
      </w:pPr>
      <w:r>
        <w:rPr>
          <w:rFonts w:ascii="Times New Roman" w:hAnsi="Times New Roman" w:cs="Times New Roman" w:eastAsia="Times New Roman"/>
        </w:rPr>
        <w:t>8. Этап 2. Существующие решения: что уже закрывает риск (панель «Прогноз»)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по каждой траектории - карта решений и формулировка разрыва. Состав на траекторию: одна сессия панели, сборка, гейт. Траектории идут волнами: пока одна на гейте, следующая на панели.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Перед сессией панель «Прогноз»: агент-Исследователь строит карту существующих решений (изделия, патенты, рынок, заделы) и показывает, какую часть риска каждое закрывает; Оппонент заранее атакует карту - где характеристики не подтверждены, где решение живёт только в презентациях.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карте (формат А). Сборщики проверяют ключевые решения: есть ли изделие в железе, стадия зрелости, доступность в текущих условиях - санкции, компоненты, лицензии. Недоступное помечается, а не вычёркивается: недоступность сама может оказаться отдельным риском. Дозапросы Исследователю: подтверждение характеристик, аналоги, стадия серийности.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Эксперт формулирует разрыв явно: «существующие решения закрывают X, не закрывают Y, потому что Z». Это главная фраза этапа - её пишет человек.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(формат Б): карта решений, формулировка остаточного риска, позиция Оппонента с сохранением разногласий.</w:t>
      </w:r>
    </w:p>
    <w:p>
      <w:pPr>
        <w:pStyle w:val="Compact"/>
        <w:numPr>
          <w:ilvl w:val="0"/>
          <w:numId w:val="1006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2 (формат В). Решение ЛПР - один из трёх исходов: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остаточный риск приемлем - траектория закрывается в портфель как «закрыто существующими решениями» с планом их развития;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остаточный риск неприемлем - траектория идёт на этап 3, ЛПР формулирует, что должен снять будущий НИОКР;</w:t>
      </w:r>
    </w:p>
    <w:p>
      <w:pPr>
        <w:pStyle w:val="Compact"/>
        <w:numPr>
          <w:ilvl w:val="1"/>
          <w:numId w:val="1007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данных недостаточно - возврат на панель с конкретным вопросом, один раз.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карты решений и разрывы по всем траекториям; на этап 3 уходит 3 траектории на группу.</w:t>
      </w:r>
    </w:p>
    <w:bookmarkEnd w:id="18"/>
    <w:bookmarkStart w:id="19" w:name="X719dfd5231e2fc5ad5057bdd3a064266aeb4e54"/>
    <w:p>
      <w:pPr>
        <w:pStyle w:val="2"/>
      </w:pPr>
      <w:r>
        <w:rPr>
          <w:rFonts w:ascii="Times New Roman" w:hAnsi="Times New Roman" w:cs="Times New Roman" w:eastAsia="Times New Roman"/>
        </w:rPr>
        <w:t>9. Этап 3. Перспективный НИОКР: от вариантов к ТЗ (панель «Стратегия»)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Цель: выбранное направление и утверждённое ТЗ. Состав на траекторию: сессия панели по вариантам, сборка, гейт выбора, сессия сборки ТЗ, гейт утверждения.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Перед сессией панель «Стратегия»: агенты готовят 2-3 варианта НИОКР, каждый сразу по двум дорожкам: дорожка А - железо и софт (платформа, ПО, состав изделия, характеристики, этапы), дорожка Б - внедрение (кто и через какой институт внедряет, защита интеллектуальной собственности, удержание результата в эксплуатации). Оппонент проводит состязательный разбор вариантов, Планировщик декомпозирует на этапы и контрольные точки, Аудитор проверяет качество выводов и чистоту по интеллектуальной собственности.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 xml:space="preserve">Шаги людей: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Сессия панели по вариантам (формат А). Сборщики проверяют реалистичность характеристик и сроков; дорожку Б сверяют с реальностью: названный институт существует и способен взять работу. Эксперт даёт заключение по каждому варианту: достижимо, достижимо с оговорками, не достижимо в заявленные сроки - оговорки явно.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Сборка сравнительного доклада (формат Б): варианты рядом, по обеим дорожкам, с позицией Оппонента и заключением эксперта. Разногласия показываются, не усредняются.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Гейт 3а - выбор направления (формат В). Это ставка в условиях неопределённости: когда расчёт не даёт однозначного ответа, выбирает ЛПР, и выбор фиксируется с мотивировкой.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>Сборка ТЗ. Сборщики с Планировщиком наполняют шаблон ТЗ (раздел 12): Планировщик даёт черновик этапов и контрольных точек, сборщики проверяют и дописывают, эксперт вычитывает, Аудитор проверяет прослеживаемость - ТЗ ссылается на риск и разрыв, которые снимает. Это самый длинный блок ручной работы интенсива: закладывать от половины дня на одно ТЗ.</w:t>
      </w:r>
    </w:p>
    <w:p>
      <w:pPr>
        <w:pStyle w:val="Compact"/>
        <w:numPr>
          <w:ilvl w:val="0"/>
          <w:numId w:val="1008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>Гейт 3б - утверждение ТЗ (формат В). ЛПР утверждает, только если ТЗ проходит критерии приёмки (раздел 13). Утверждение - подпись ответственного лица. Если хотя бы один критерий не выполнен - возврат с конкретным замечанием; утверждение «в целом, с доработкой потом» не допускается. Вместе с ТЗ ЛПР видит результаты тестбэда такта 4: подтверждена ли гипотеза кодом и какой TRL достигнут.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Выход: одно-два утверждённых ТЗ на группу.</w:t>
      </w:r>
    </w:p>
    <w:p>
      <w:pPr>
        <w:pStyle w:val="2"/>
      </w:pPr>
      <w:r>
        <w:rPr>
          <w:rFonts w:ascii="Times New Roman" w:hAnsi="Times New Roman" w:cs="Times New Roman" w:eastAsia="Times New Roman"/>
        </w:rPr>
        <w:t>10. Такт 4. Тестбэд: группы кодят (TRL 2-3)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Цель: экспериментальная проверка выбранного направления — чтобы из интенсива выходило не просто ТЗ, а ТЗ с подтверждённым стартовым уровнем готовности технологии TRL 2-3. Такт начинается после гейта 3а и идёт параллельно сборке ТЗ. Состав на траекторию: формулировка гипотезы, ночной прогон Инженера, один-два тестбэд-спринта (формат Г), фиксация результатов в ТЗ.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Перед тактом агент-Инженер по выбранному направлению ищет алгоритмы, открытые реализации и модели и готовит каркас тестбэда: программный стенд, симуляцию или цифровой двойник изделия и условий применения.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Шаги людей: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Формулировка гипотезы. Группа записывает, что именно проверяем: какой алгоритм или контур, какой показатель, в каких условиях. Проверяем именно то, чего не закрывают существующие решения, — разрыв из этапа 2.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Тестбэд-спринт (формат Г): сборщики с Инженером доводят стенд, эксперт проверяет адекватность модели, тест прогоняется по записанным заранее критериям.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Фиксация. Результат — подтверждено, частично, не подтверждено — вместе с кодом, условиями и метриками входит в ТЗ разделом «Экспериментальная проверка». Уровень фиксируется честно: сформулирована и обоснована концепция — TRL 2; ключевая функция экспериментально подтверждена на стенде или двойнике — TRL 3.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Если гипотеза непроверяема в коде или двойнике за время интенсива, группа записывает почему и какой минимальный натурный эксперимент нужен — он становится первым этапом НИОКР в ТЗ.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Выход: работающий тестбэд (код в репозитории траектории) и раздел «Экспериментальная проверка» в каждом ТЗ с зафиксированным TRL.</w:t>
      </w:r>
    </w:p>
    <w:bookmarkEnd w:id="19"/>
    <w:bookmarkStart w:id="20" w:name="план-по-дням-семь-дней"/>
    <w:p>
      <w:pPr>
        <w:pStyle w:val="2"/>
      </w:pPr>
      <w:r>
        <w:rPr>
          <w:rFonts w:ascii="Times New Roman" w:hAnsi="Times New Roman" w:cs="Times New Roman" w:eastAsia="Times New Roman"/>
        </w:rPr>
        <w:t>11. План по дням: семь дней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Сетка единая для трёх групп, группы идут параллельно. Утренний блок примерно 10:00-13:00, дневной 14:00-18:00. Каждый день начинается с пятнадцатиминутного стендапа модератора: статус траекторий на доске, что сегодня доводится до гейта.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1 - установка и запуск.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вводная по механике процесса и ролям; группы фиксируют письменно свои критерии значимости и приемлемости риска; обучение работе со средой.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тренировочная траектория - каждая группа прогоняет сессию панели на учебном примере, чтобы освоить дозапросы агентам и работу с Оппонентом; разбор ошибок с модератором.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Вечер: оператор запускает панели этапа 1 - Разведчик и Аналитик за ночь готовят черновые реестры рисков по фокусам групп.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2 - этап 1, риски.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сессия панели по реестру рисков (формат А).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при необходимости вторая сессия после доработки агентами; затем сборка доклада (формат Б).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гейт 1 - ЛПР утверждает значимые риски и открывает 6 траекторий с целями. Оператор на ночь запускает Исследователя и Оппонента по первой волне траекторий (3 штуки).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3 - этап 2, первая волна.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сессии панели по картам решений траекторий 1-3.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сборки по готовым траекториям; первые гейты 2 по готовности - не ждать, пока готовы все.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Вечер: запуск агентов по второй волне (траектории 4-6).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 xml:space="preserve">День 4 - этап 2, вторая волна.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Утро: сессии панели по траекториям 4-6.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День: сборки и оставшиеся гейты 2.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Конец дня: у каждой группы определены 3 траектории, идущие на этап 3, с формулировками разрывов. Оператор на ночь запускает панель «Стратегия»: генерация вариантов НИОКР по двум дорожкам, разбор Оппонентом, декомпозиция Планировщиком.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>День 5 - этап 3, выбор направления. Утро: сессия панели по вариантам НИОКР (формат А) - проверка реалистичности, заключения эксперта. День: сборка сравнительного доклада. Конец дня: гейт 3а - ЛПР выбирает направления и фиксирует мотивировку. Группа решает, сколько ТЗ собирает: одно или два. После гейта группы формулируют гипотезы тестбэдов; вечером оператор запускает Инженера - поиск алгоритмов и каркас тестбэда или цифрового двойника по каждому выбранному направлению.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>День 6 - сборка ТЗ и тестбэд. Утро и день: группа работает двумя потоками - часть сборщиков собирает ТЗ с Планировщиком по шаблону, часть кодит тестбэд с Инженером (формат Г); вычитка экспертом; проверка Аудитором на прослеживаемость и чистоту по интеллектуальной собственности. Конец дня: гейт 3б по готовым ТЗ - с первыми результатами тестов, если готовы. Возвраты с замечаниями - в работу на утро дня 7.</w:t>
      </w:r>
    </w:p>
    <w:p>
      <w:pPr>
        <w:pStyle w:val="a0"/>
      </w:pPr>
      <w:r>
        <w:rPr>
          <w:rFonts w:ascii="Times New Roman" w:hAnsi="Times New Roman" w:cs="Times New Roman" w:eastAsia="Times New Roman"/>
          <w:b/>
          <w:bCs/>
        </w:rPr>
        <w:t>День 7 - тест, утверждение и финализация. Утро: завершение прогонов тестбэдов, внесение результатов и TRL в ТЗ; доработка по замечаниям, повторные гейты 3б. День: финализация портфелей - реестр рисков, карты решений, список НИОКР, журнал решений всех гейтов, код тестбэдов в репозиториях; проверка прослеживаемости каждого ТЗ назад до риска. Вечер: представление результатов - каждая группа показывает портфель, 1-2 ТЗ и живой прогон тестбэда, ЛПР объясняет логику своих ставок.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Нагрузка ЛПР по дням: пиковые дни - 2, 4, 5 и 7 (гейты, около двух-трёх часов). Если ЛПР доступен меньше, сокращается число траекторий, а не глубина проработки. Воронка на 7 дней: 6 траекторий на старте, 3 на этапе 3, 1-2 полных ТЗ на группу; итого по интенсиву 3-6 утверждённых ТЗ с экспериментальной проверкой TRL 2-3.</w:t>
      </w:r>
    </w:p>
    <w:bookmarkEnd w:id="20"/>
    <w:bookmarkStart w:id="21" w:name="структура-тз"/>
    <w:p>
      <w:pPr>
        <w:pStyle w:val="2"/>
      </w:pPr>
      <w:r>
        <w:rPr>
          <w:rFonts w:ascii="Times New Roman" w:hAnsi="Times New Roman" w:cs="Times New Roman" w:eastAsia="Times New Roman"/>
        </w:rPr>
        <w:t>12. Структура ТЗ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ТЗ на НИОКР [группа, риск]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Основание и снимаемый риск - ссылка на карточку риска и решение гейта 1.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Чего не закрывают существующие решения - формулировка разрыва из гейта 2.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Цель НИОКР - как именно снимается остаточный риск, проверяемый критерий успеха.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Дорожка А, железо и софт: состав изделия, характеристики, ПО, связь, автономность; этапы и контрольные точки; критерии приёмки каждого этапа.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Дорожка Б, внедрение: кто и через какой институт внедряет; стратегия по интеллектуальной собственности; как результат удерживается в эксплуатации, а не оседает в отчёте.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Экспериментальная проверка: гипотеза, тестбэд (код или цифровой двойник), условия и результаты теста, достигнутый TRL; при невозможности проверки в коде - обоснование и минимальный натурный эксперимент как первый этап работ.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Ресурсы, сроки, риски самого НИОКР.</w:t>
      </w:r>
    </w:p>
    <w:p>
      <w:pPr>
        <w:pStyle w:val="Compact"/>
        <w:numPr>
          <w:ilvl w:val="0"/>
          <w:numId w:val="1009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Утверждение ответственным лицом: подпись, дата, мотивировка выбора направления.</w:t>
      </w:r>
    </w:p>
    <w:bookmarkEnd w:id="21"/>
    <w:bookmarkStart w:id="22" w:name="критерии-приёмки-тз"/>
    <w:p>
      <w:pPr>
        <w:pStyle w:val="2"/>
      </w:pPr>
      <w:r>
        <w:rPr>
          <w:rFonts w:ascii="Times New Roman" w:hAnsi="Times New Roman" w:cs="Times New Roman" w:eastAsia="Times New Roman"/>
        </w:rPr>
        <w:t>13. Критерии приёмки ТЗ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ТЗ принимается на гейте 3б, только если выполнены все пункты: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Прослеживаемость: ТЗ ссылается на конкретный риск из реестра и формулировку разрыва из этапа 2.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Проверяемость цели: по завершении работ можно однозначно сказать, снят остаточный риск или нет.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Обе дорожки заполнены содержательно: в дорожке Б назван реальный внедряющий институт и понятен механизм удержания результата.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Этапы имеют контрольные точки с критериями приёмки, а не только сроками.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Названы ресурсы и ограничения; риски самого НИОКР перечислены с реакцией на каждый.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Экспериментальная проверка проведена: приложены код тестбэда и результаты теста, зафиксирован достигнутый TRL; отрицательный или частичный результат записан честно и отражён в рисках НИОКР. Если проверка в коде невозможна - записано почему и назван натурный эксперимент первого этапа.</w:t>
      </w:r>
    </w:p>
    <w:p>
      <w:pPr>
        <w:pStyle w:val="Compact"/>
        <w:numPr>
          <w:ilvl w:val="0"/>
          <w:numId w:val="1010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Оставшиеся разногласия записаны в ТЗ, а не стёрты.</w:t>
      </w:r>
    </w:p>
    <w:bookmarkEnd w:id="22"/>
    <w:bookmarkStart w:id="23" w:name="правила-процесса"/>
    <w:p>
      <w:pPr>
        <w:pStyle w:val="2"/>
      </w:pPr>
      <w:r>
        <w:rPr>
          <w:rFonts w:ascii="Times New Roman" w:hAnsi="Times New Roman" w:cs="Times New Roman" w:eastAsia="Times New Roman"/>
        </w:rPr>
        <w:t>14. Правила процесса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Решения только письменно: формулировка, мотивировка, дата, кто принял - в карточке траектории.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Разногласия сохраняются до ЛПР в исходном виде; сводить их в решение - право только ЛПР.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Один возврат на доработку: после повторного выхода с панели ЛПР решает по имеющимся данным.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Воронка сужается честно: закрытие траектории «существующих решений достаточно» - полноценный результат, не неудача.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Контур данных: группа военных ЛПР работает в отдельном контуре; перечень допустимых для общей среды данных согласуется до интенсива, чувствительные ТТХ в общую базу знаний не попадают.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Темп держит модератор: траектория, зависшая дольше норматива, выносится на ближайший гейт с тем, что есть.</w:t>
      </w:r>
    </w:p>
    <w:p>
      <w:pPr>
        <w:pStyle w:val="Compact"/>
        <w:numPr>
          <w:ilvl w:val="0"/>
          <w:numId w:val="1011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Агенты работают ночью, люди днём: тяжёлые прогоны агентов (реестры, карты, варианты) запускаются вечером, чтобы утренние сессии начинались с готового материала.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Код - тоже артефакт: тестбэды живут в репозиториях траекторий и прослеживаются так же, как решения гейтов.</w:t>
      </w:r>
    </w:p>
    <w:bookmarkEnd w:id="23"/>
    <w:bookmarkStart w:id="24" w:name="результаты-интенсива"/>
    <w:p>
      <w:pPr>
        <w:pStyle w:val="2"/>
      </w:pPr>
      <w:r>
        <w:rPr>
          <w:rFonts w:ascii="Times New Roman" w:hAnsi="Times New Roman" w:cs="Times New Roman" w:eastAsia="Times New Roman"/>
        </w:rPr>
        <w:t>15. Результаты интенсива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Три портфеля, по одному на группу: реестр рисков, карты существующих решений, приоритизированный список перспективных НИОКР, включая траектории, закрытые существующими решениями.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>От трёх до шести утверждённых ТЗ, прошедших критерии приёмки, - каждое с экспериментальной проверкой и стартовым TRL 2-3.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Тестбэды: работающий код и цифровые двойники по выбранным направлениям - воспроизводимые артефакты, которые передаются исполнителю НИОКР вместе с ТЗ.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Полная прослеживаемость: от каждого ТЗ - назад к разрыву, риску и решениям ЛПР на каждом гейте.</w:t>
      </w:r>
    </w:p>
    <w:p>
      <w:pPr>
        <w:pStyle w:val="Compact"/>
        <w:numPr>
          <w:ilvl w:val="0"/>
          <w:numId w:val="1012"/>
        </w:numPr>
        <w:spacing w:line="276" w:lineRule="auto" w:after="80"/>
      </w:pPr>
      <w:r>
        <w:rPr>
          <w:rFonts w:ascii="Times New Roman" w:hAnsi="Times New Roman" w:cs="Times New Roman" w:eastAsia="Times New Roman"/>
        </w:rPr>
        <w:t xml:space="preserve">Журнал решений: все гейты всех траекторий с формулировками и мотивировками.</w:t>
      </w:r>
    </w:p>
    <w:p>
      <w:pPr>
        <w:pStyle w:val="2"/>
      </w:pPr>
      <w:r>
        <w:rPr>
          <w:rFonts w:ascii="Times New Roman" w:hAnsi="Times New Roman" w:cs="Times New Roman" w:eastAsia="Times New Roman"/>
        </w:rPr>
        <w:t>16. Готовность и развёртывание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>Методика опирается на уже работающие компоненты среды Мета-КБ, которые объединяются под задачу интенсива: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отраслевая база знаний по БАС: изделия, производители, регуляторика;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цифровая среда командной работы с панелями ИИ-агентов, чатом и контуром человеческого утверждения;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методика коллективного различения, сохраняющая разногласия, и декомпозиция НИОКР на этапы и контрольные точки;</w:t>
      </w:r>
    </w:p>
    <w:p>
      <w:pPr>
        <w:pStyle w:val="Compact"/>
        <w:numPr>
          <w:ilvl w:val="0"/>
          <w:numId w:val="1001"/>
        </w:numPr>
        <w:spacing w:line="276" w:lineRule="auto" w:after="80"/>
      </w:pPr>
      <w:r>
        <w:rPr>
          <w:rFonts w:ascii="Times New Roman" w:hAnsi="Times New Roman" w:cs="Times New Roman" w:eastAsia="Times New Roman"/>
          <w:b/>
          <w:bCs/>
        </w:rPr>
        <w:t>инфраструктура такта 4: репозитории траекторий, среда выполнения кода, заготовки цифровых двойников БАС.</w:t>
      </w:r>
    </w:p>
    <w:p>
      <w:pPr>
        <w:pStyle w:val="a0"/>
      </w:pPr>
      <w:r>
        <w:rPr>
          <w:rFonts w:ascii="Times New Roman" w:hAnsi="Times New Roman" w:cs="Times New Roman" w:eastAsia="Times New Roman"/>
        </w:rPr>
        <w:t>Порядок развёртывания к интенсиву: подготовка шаблона ТЗ, формы реестра рисков и заготовок критериев по группам → настройка панелей и ролей агентов → пробный прогон одной полной траектории «риск → ТЗ → тестбэд» на реальном примере → подключение всех групп и доска траекторий для модератора.</w:t>
      </w:r>
    </w:p>
    <w:bookmarkEnd w:id="24"/>
    <w:bookmarkEnd w:id="25"/>
    <w:sectPr w:rsidR="001A1CCB" w:rsidRPr="00C831AC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A844D6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2170508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31433853" w:numId="1">
    <w:abstractNumId w:val="0"/>
  </w:num>
  <w:num w16cid:durableId="1212695773" w:numId="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CCB"/>
    <w:rsid w:val="000820CD"/>
    <w:rsid w:val="001A1CCB"/>
    <w:rsid w:val="002B6A41"/>
    <w:rsid w:val="00353141"/>
    <w:rsid w:val="003934CF"/>
    <w:rsid w:val="004B36C6"/>
    <w:rsid w:val="00A41DC9"/>
    <w:rsid w:val="00A432CF"/>
    <w:rsid w:val="00C831AC"/>
    <w:rsid w:val="00D27BB1"/>
    <w:rsid w:val="00DE325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pPr>
      <w:spacing w:line="276" w:lineRule="auto" w:after="120" w:before="0"/>
    </w:pPr>
    <w:rPr>
      <w:rFonts w:ascii="Times New Roman" w:hAnsi="Times New Roman" w:cs="Times New Roman" w:eastAsia="Times New Roman"/>
      <w:sz w:val="24"/>
    </w:rPr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160" w:before="280"/>
      <w:ind w:firstLine="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32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160" w:before="280"/>
      <w:ind w:firstLine="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60" w:before="280"/>
      <w:ind w:firstLine="0"/>
      <w:outlineLvl w:val="2"/>
    </w:pPr>
    <w:rPr>
      <w:rFonts w:cstheme="majorBidi" w:eastAsiaTheme="majorEastAsia" w:ascii="Times New Roman" w:hAnsi="Times New Roman" w:cs="Times New Roman" w:eastAsia="Times New Roman"/>
      <w:b/>
      <w:color w:themeColor="accent1" w:themeShade="BF" w:val="0F4761"/>
      <w:sz w:val="26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cs="Times New Roman" w:eastAsia="Times New Roman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cs="Times New Roman" w:eastAsia="Times New Roman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cs="Times New Roman" w:eastAsia="Times New Roman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cs="Times New Roman" w:eastAsia="Times New Roman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cs="Times New Roman" w:eastAsia="Times New Roman"/>
      <w:color w:themeColor="text1" w:themeTint="D8" w:val="272727"/>
    </w:rPr>
  </w:style>
  <w:style w:default="1" w:styleId="a1" w:type="character">
    <w:rPr>
      <w:rFonts w:ascii="Times New Roman" w:hAnsi="Times New Roman" w:cs="Times New Roman" w:eastAsia="Times New Roman"/>
    </w:rPr>
    <w:name w:val="Default Paragraph Font"/>
    <w:uiPriority w:val="1"/>
    <w:semiHidden/>
    <w:unhideWhenUsed/>
  </w:style>
  <w:style w:default="1" w:styleId="a2" w:type="table">
    <w:rPr>
      <w:rFonts w:ascii="Times New Roman" w:hAnsi="Times New Roman" w:cs="Times New Roman" w:eastAsia="Times New Roman"/>
    </w:rPr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rPr>
      <w:rFonts w:ascii="Times New Roman" w:hAnsi="Times New Roman" w:cs="Times New Roman" w:eastAsia="Times New Roman"/>
    </w:rPr>
    <w:name w:val="No List"/>
    <w:uiPriority w:val="99"/>
    <w:semiHidden/>
    <w:unhideWhenUsed/>
  </w:style>
  <w:style w:styleId="a0" w:type="paragraph">
    <w:rPr>
      <w:rFonts w:ascii="Times New Roman" w:hAnsi="Times New Roman" w:cs="Times New Roman" w:eastAsia="Times New Roman"/>
      <w:sz w:val="24"/>
    </w:rPr>
    <w:name w:val="Body Text"/>
    <w:basedOn w:val="a"/>
    <w:qFormat/>
    <w:pPr>
      <w:spacing w:after="120" w:before="0" w:line="276" w:lineRule="auto"/>
      <w:ind w:firstLine="709"/>
      <w:jc w:val="both"/>
    </w:pPr>
  </w:style>
  <w:style w:customStyle="1" w:styleId="FirstParagraph" w:type="paragraph">
    <w:pPr>
      <w:spacing w:line="276" w:lineRule="auto" w:after="120" w:before="0"/>
      <w:ind w:firstLine="709"/>
      <w:jc w:val="both"/>
    </w:pPr>
    <w:rPr>
      <w:rFonts w:ascii="Times New Roman" w:hAnsi="Times New Roman" w:cs="Times New Roman" w:eastAsia="Times New Roman"/>
      <w:sz w:val="24"/>
    </w:rPr>
    <w:name w:val="First Paragraph"/>
    <w:basedOn w:val="a0"/>
    <w:next w:val="a0"/>
    <w:qFormat/>
  </w:style>
  <w:style w:customStyle="1" w:styleId="Compact" w:type="paragraph">
    <w:rPr>
      <w:rFonts w:ascii="Times New Roman" w:hAnsi="Times New Roman" w:cs="Times New Roman" w:eastAsia="Times New Roman"/>
      <w:sz w:val="24"/>
    </w:rPr>
    <w:name w:val="Compact"/>
    <w:basedOn w:val="a0"/>
    <w:qFormat/>
    <w:pPr>
      <w:spacing w:after="120" w:before="0" w:line="276" w:lineRule="auto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160" w:before="0"/>
      <w:ind w:firstLine="0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b/>
      <w:sz w:val="32"/>
      <w:szCs w:val="56"/>
    </w:rPr>
  </w:style>
  <w:style w:customStyle="1" w:styleId="a5" w:type="character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customStyle="1" w:styleId="a7" w:type="character">
    <w:name w:val="Подзаголовок Знак"/>
    <w:basedOn w:val="a1"/>
    <w:link w:val="a6"/>
    <w:uiPriority w:val="11"/>
    <w:rsid w:val="00A10FD9"/>
    <w:rPr>
      <w:rFonts w:cstheme="majorBidi" w:eastAsiaTheme="majorEastAsia"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a9" w:type="paragraph">
    <w:rPr>
      <w:rFonts w:ascii="Times New Roman" w:hAnsi="Times New Roman" w:cs="Times New Roman" w:eastAsia="Times New Roman"/>
    </w:rPr>
    <w:name w:val="Bibliography"/>
    <w:basedOn w:val="a"/>
    <w:qFormat/>
  </w:style>
  <w:style w:customStyle="1" w:styleId="10" w:type="character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customStyle="1" w:styleId="20" w:type="character">
    <w:name w:val="Заголовок 2 Знак"/>
    <w:basedOn w:val="a1"/>
    <w:link w:val="2"/>
    <w:uiPriority w:val="9"/>
    <w:semiHidden/>
    <w:rsid w:val="00A10FD9"/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accent1" w:themeShade="BF" w:val="0F4761"/>
    </w:rPr>
  </w:style>
  <w:style w:customStyle="1" w:styleId="50" w:type="character">
    <w:name w:val="Заголовок 5 Знак"/>
    <w:basedOn w:val="a1"/>
    <w:link w:val="5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accent1" w:themeShade="BF" w:val="0F4761"/>
    </w:rPr>
  </w:style>
  <w:style w:customStyle="1" w:styleId="60" w:type="character">
    <w:name w:val="Заголовок 6 Знак"/>
    <w:basedOn w:val="a1"/>
    <w:link w:val="6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text1" w:themeTint="A6" w:val="595959"/>
    </w:rPr>
  </w:style>
  <w:style w:customStyle="1" w:styleId="70" w:type="character">
    <w:name w:val="Заголовок 7 Знак"/>
    <w:basedOn w:val="a1"/>
    <w:link w:val="7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text1" w:themeTint="A6" w:val="595959"/>
    </w:rPr>
  </w:style>
  <w:style w:customStyle="1" w:styleId="80" w:type="character">
    <w:name w:val="Заголовок 8 Знак"/>
    <w:basedOn w:val="a1"/>
    <w:link w:val="8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i/>
      <w:iCs/>
      <w:color w:themeColor="text1" w:themeTint="D8" w:val="272727"/>
    </w:rPr>
  </w:style>
  <w:style w:customStyle="1" w:styleId="90" w:type="character">
    <w:name w:val="Заголовок 9 Знак"/>
    <w:basedOn w:val="a1"/>
    <w:link w:val="9"/>
    <w:uiPriority w:val="9"/>
    <w:semiHidden/>
    <w:rsid w:val="00A10FD9"/>
    <w:rPr>
      <w:rFonts w:cstheme="majorBidi" w:eastAsiaTheme="majorEastAsia" w:ascii="Times New Roman" w:hAnsi="Times New Roman" w:cs="Times New Roman" w:eastAsia="Times New Roman"/>
      <w:color w:themeColor="text1" w:themeTint="D8" w:val="272727"/>
    </w:rPr>
  </w:style>
  <w:style w:styleId="aa" w:type="paragraph">
    <w:rPr>
      <w:rFonts w:ascii="Times New Roman" w:hAnsi="Times New Roman" w:cs="Times New Roman" w:eastAsia="Times New Roman"/>
    </w:rPr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rPr>
      <w:rFonts w:ascii="Times New Roman" w:hAnsi="Times New Roman" w:cs="Times New Roman" w:eastAsia="Times New Roman"/>
    </w:rPr>
    <w:name w:val="footnote text"/>
    <w:basedOn w:val="a"/>
    <w:uiPriority w:val="9"/>
    <w:unhideWhenUsed/>
    <w:qFormat/>
  </w:style>
  <w:style w:customStyle="1" w:styleId="FootnoteBlockText" w:type="paragraph">
    <w:rPr>
      <w:rFonts w:ascii="Times New Roman" w:hAnsi="Times New Roman" w:cs="Times New Roman" w:eastAsia="Times New Roman"/>
    </w:rPr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rPr>
      <w:rFonts w:ascii="Times New Roman" w:hAnsi="Times New Roman" w:cs="Times New Roman" w:eastAsia="Times New Roman"/>
    </w:rPr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rPr>
      <w:rFonts w:ascii="Times New Roman" w:hAnsi="Times New Roman" w:cs="Times New Roman" w:eastAsia="Times New Roman"/>
    </w:rPr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rFonts w:ascii="Times New Roman" w:hAnsi="Times New Roman" w:cs="Times New Roman" w:eastAsia="Times New Roman"/>
      <w:i/>
    </w:rPr>
  </w:style>
  <w:style w:customStyle="1" w:styleId="TableCaption" w:type="paragraph">
    <w:rPr>
      <w:rFonts w:ascii="Times New Roman" w:hAnsi="Times New Roman" w:cs="Times New Roman" w:eastAsia="Times New Roman"/>
    </w:rPr>
    <w:name w:val="Table Caption"/>
    <w:basedOn w:val="ac"/>
    <w:pPr>
      <w:keepNext/>
    </w:pPr>
  </w:style>
  <w:style w:customStyle="1" w:styleId="ImageCaption" w:type="paragraph">
    <w:rPr>
      <w:rFonts w:ascii="Times New Roman" w:hAnsi="Times New Roman" w:cs="Times New Roman" w:eastAsia="Times New Roman"/>
    </w:rPr>
    <w:name w:val="Image Caption"/>
    <w:basedOn w:val="ac"/>
  </w:style>
  <w:style w:customStyle="1" w:styleId="Figure" w:type="paragraph">
    <w:rPr>
      <w:rFonts w:ascii="Times New Roman" w:hAnsi="Times New Roman" w:cs="Times New Roman" w:eastAsia="Times New Roman"/>
    </w:rPr>
    <w:name w:val="Figure"/>
    <w:basedOn w:val="a"/>
  </w:style>
  <w:style w:customStyle="1" w:styleId="CaptionedFigure" w:type="paragraph">
    <w:rPr>
      <w:rFonts w:ascii="Times New Roman" w:hAnsi="Times New Roman" w:cs="Times New Roman" w:eastAsia="Times New Roman"/>
    </w:rPr>
    <w:name w:val="Captioned Figure"/>
    <w:basedOn w:val="Figure"/>
    <w:pPr>
      <w:keepNext/>
    </w:pPr>
  </w:style>
  <w:style w:customStyle="1" w:styleId="ad" w:type="character">
    <w:rPr>
      <w:rFonts w:ascii="Times New Roman" w:hAnsi="Times New Roman" w:cs="Times New Roman" w:eastAsia="Times New Roman"/>
    </w:rPr>
    <w:name w:val="Название объекта Знак"/>
    <w:basedOn w:val="a1"/>
    <w:link w:val="ac"/>
  </w:style>
  <w:style w:customStyle="1" w:styleId="VerbatimChar" w:type="character">
    <w:name w:val="Verbatim Char"/>
    <w:basedOn w:val="ad"/>
    <w:link w:val="SourceCode"/>
    <w:rPr>
      <w:rFonts w:ascii="Times New Roman" w:hAnsi="Times New Roman" w:cs="Times New Roman" w:eastAsia="Times New Roman"/>
      <w:sz w:val="22"/>
    </w:rPr>
  </w:style>
  <w:style w:customStyle="1" w:styleId="SectionNumber" w:type="character">
    <w:rPr>
      <w:rFonts w:ascii="Times New Roman" w:hAnsi="Times New Roman" w:cs="Times New Roman" w:eastAsia="Times New Roman"/>
    </w:rPr>
    <w:name w:val="Section Number"/>
    <w:basedOn w:val="ad"/>
  </w:style>
  <w:style w:styleId="ae" w:type="character">
    <w:name w:val="footnote reference"/>
    <w:basedOn w:val="ad"/>
    <w:rPr>
      <w:rFonts w:ascii="Times New Roman" w:hAnsi="Times New Roman" w:cs="Times New Roman" w:eastAsia="Times New Roman"/>
      <w:vertAlign w:val="superscript"/>
    </w:rPr>
  </w:style>
  <w:style w:styleId="af" w:type="character">
    <w:name w:val="Hyperlink"/>
    <w:basedOn w:val="ad"/>
    <w:rPr>
      <w:rFonts w:ascii="Times New Roman" w:hAnsi="Times New Roman" w:cs="Times New Roman" w:eastAsia="Times New Roman"/>
      <w:color w:themeColor="accent1" w:val="156082"/>
    </w:rPr>
  </w:style>
  <w:style w:styleId="af0" w:type="paragraph">
    <w:rPr>
      <w:rFonts w:ascii="Times New Roman" w:hAnsi="Times New Roman" w:cs="Times New Roman" w:eastAsia="Times New Roman"/>
    </w:rPr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rPr>
      <w:rFonts w:ascii="Times New Roman" w:hAnsi="Times New Roman" w:cs="Times New Roman" w:eastAsia="Times New Roman"/>
    </w:rPr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Times New Roman"/>
      <w:color w:val="902000"/>
      <w:sz w:val="22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Times New Roman"/>
      <w:color w:val="880000"/>
      <w:sz w:val="22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Times New Roman"/>
      <w:color w:val="BB6688"/>
      <w:sz w:val="22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Times New Roman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Times New Roman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Times New Roman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Times New Roman"/>
      <w:color w:val="007020"/>
      <w:sz w:val="22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Times New Roman"/>
      <w:color w:val="06287E"/>
      <w:sz w:val="22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Times New Roman"/>
      <w:color w:val="19177C"/>
      <w:sz w:val="22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Times New Roman"/>
      <w:color w:val="666666"/>
      <w:sz w:val="22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Times New Roman"/>
      <w:color w:val="008000"/>
      <w:sz w:val="22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Times New Roman"/>
      <w:sz w:val="22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Times New Roman"/>
      <w:color w:val="BC7A00"/>
      <w:sz w:val="22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Times New Roman"/>
      <w:color w:val="7D9029"/>
      <w:sz w:val="22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Times New Roman"/>
      <w:sz w:val="22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2026-06-10T10:21:11Z</dcterms:created>
  <dcterms:modified xsi:type="dcterms:W3CDTF">2026-06-10T10:21:11Z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