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943A9">
      <w:pPr>
        <w:spacing w:after="60"/>
        <w:jc w:val="left"/>
      </w:pPr>
      <w:bookmarkStart w:id="0" w:name="_GoBack"/>
      <w:bookmarkEnd w:id="0"/>
      <w:r>
        <w:rPr>
          <w:rFonts w:ascii="Times New Roman" w:hAnsi="Times New Roman"/>
          <w:b w:val="0"/>
          <w:sz w:val="22"/>
        </w:rPr>
        <w:t>Приложение № 2 к заявке на выполнение оперативной работы</w:t>
      </w:r>
    </w:p>
    <w:p w14:paraId="2E677288">
      <w:pPr>
        <w:spacing w:after="60"/>
        <w:jc w:val="left"/>
      </w:pPr>
      <w:r>
        <w:rPr>
          <w:rFonts w:ascii="Times New Roman" w:hAnsi="Times New Roman"/>
          <w:b w:val="0"/>
          <w:sz w:val="22"/>
        </w:rPr>
        <w:t>Приложение № 1 к Договору на выполнение оперативной работы</w:t>
      </w:r>
    </w:p>
    <w:p w14:paraId="51D66FED">
      <w:pPr>
        <w:spacing w:after="240"/>
        <w:jc w:val="left"/>
      </w:pPr>
      <w:r>
        <w:rPr>
          <w:rFonts w:ascii="Times New Roman" w:hAnsi="Times New Roman"/>
          <w:b w:val="0"/>
          <w:sz w:val="22"/>
        </w:rPr>
        <w:t>от __.__.202_ г. № ________________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0B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21201">
            <w:pPr>
              <w:spacing w:after="0" w:line="240" w:lineRule="auto"/>
            </w:pPr>
          </w:p>
        </w:tc>
        <w:tc>
          <w:tcPr>
            <w:tcW w:w="2880" w:type="dxa"/>
          </w:tcPr>
          <w:p w14:paraId="17A607FC">
            <w:pPr>
              <w:spacing w:after="0" w:line="240" w:lineRule="auto"/>
            </w:pPr>
          </w:p>
        </w:tc>
        <w:tc>
          <w:tcPr>
            <w:tcW w:w="2880" w:type="dxa"/>
          </w:tcPr>
          <w:p w14:paraId="2FF0926C">
            <w:pPr>
              <w:spacing w:after="0" w:line="240" w:lineRule="auto"/>
            </w:pPr>
          </w:p>
        </w:tc>
      </w:tr>
      <w:tr w14:paraId="279A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508C39">
            <w:pPr>
              <w:spacing w:after="0" w:line="240" w:lineRule="auto"/>
            </w:pPr>
          </w:p>
        </w:tc>
        <w:tc>
          <w:tcPr>
            <w:tcW w:w="2880" w:type="dxa"/>
          </w:tcPr>
          <w:p w14:paraId="65F6311F">
            <w:pPr>
              <w:spacing w:after="0" w:line="240" w:lineRule="auto"/>
            </w:pPr>
          </w:p>
        </w:tc>
        <w:tc>
          <w:tcPr>
            <w:tcW w:w="2880" w:type="dxa"/>
          </w:tcPr>
          <w:p w14:paraId="3B78B315">
            <w:pPr>
              <w:spacing w:after="0" w:line="240" w:lineRule="auto"/>
            </w:pPr>
          </w:p>
        </w:tc>
      </w:tr>
      <w:tr w14:paraId="1B5B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E9772A">
            <w:pPr>
              <w:spacing w:after="0" w:line="240" w:lineRule="auto"/>
            </w:pPr>
          </w:p>
        </w:tc>
        <w:tc>
          <w:tcPr>
            <w:tcW w:w="2880" w:type="dxa"/>
          </w:tcPr>
          <w:p w14:paraId="0FBE86FE">
            <w:pPr>
              <w:spacing w:after="0" w:line="240" w:lineRule="auto"/>
            </w:pPr>
          </w:p>
        </w:tc>
        <w:tc>
          <w:tcPr>
            <w:tcW w:w="2880" w:type="dxa"/>
          </w:tcPr>
          <w:p w14:paraId="51BA27D3">
            <w:pPr>
              <w:spacing w:after="0" w:line="240" w:lineRule="auto"/>
            </w:pPr>
          </w:p>
        </w:tc>
      </w:tr>
      <w:tr w14:paraId="7E49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093B4A">
            <w:pPr>
              <w:spacing w:after="0" w:line="240" w:lineRule="auto"/>
            </w:pPr>
          </w:p>
        </w:tc>
        <w:tc>
          <w:tcPr>
            <w:tcW w:w="2880" w:type="dxa"/>
          </w:tcPr>
          <w:p w14:paraId="7FC3A5FF">
            <w:pPr>
              <w:spacing w:after="0" w:line="240" w:lineRule="auto"/>
            </w:pPr>
          </w:p>
        </w:tc>
        <w:tc>
          <w:tcPr>
            <w:tcW w:w="2880" w:type="dxa"/>
          </w:tcPr>
          <w:p w14:paraId="29497E38">
            <w:pPr>
              <w:spacing w:after="0" w:line="240" w:lineRule="auto"/>
            </w:pPr>
          </w:p>
        </w:tc>
      </w:tr>
    </w:tbl>
    <w:p w14:paraId="46142C5E">
      <w:pPr>
        <w:spacing w:after="60"/>
        <w:jc w:val="left"/>
      </w:pPr>
      <w:r>
        <w:rPr>
          <w:rFonts w:ascii="Times New Roman" w:hAnsi="Times New Roman"/>
          <w:b w:val="0"/>
          <w:sz w:val="22"/>
        </w:rPr>
        <w:t>СОГЛАСОВАНО</w:t>
      </w:r>
    </w:p>
    <w:p w14:paraId="63F1230A"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Письмом Начальника Управления перспективных межвидовых исследований и специальных проектов Министерства обороны Российской Федерации</w:t>
      </w:r>
    </w:p>
    <w:p w14:paraId="78AFF766"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от __.__.202_ г. № _____________</w:t>
      </w:r>
    </w:p>
    <w:p w14:paraId="6DEFF8CA">
      <w:pPr>
        <w:spacing w:after="120"/>
        <w:jc w:val="left"/>
      </w:pPr>
    </w:p>
    <w:p w14:paraId="2B1C0CB1">
      <w:pPr>
        <w:spacing w:after="60"/>
        <w:jc w:val="left"/>
      </w:pPr>
      <w:r>
        <w:rPr>
          <w:rFonts w:ascii="Times New Roman" w:hAnsi="Times New Roman"/>
          <w:b w:val="0"/>
          <w:sz w:val="22"/>
        </w:rPr>
        <w:t>СОГЛАСОВАНО</w:t>
      </w:r>
    </w:p>
    <w:p w14:paraId="5763D90C"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Письмом Начальника Управления войск беспилотных систем Вооруженных Сил Российской Федерации</w:t>
      </w:r>
    </w:p>
    <w:p w14:paraId="1DAF721F"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от __.__.202_ г. № _____________</w:t>
      </w:r>
    </w:p>
    <w:p w14:paraId="1C0D29B6">
      <w:pPr>
        <w:spacing w:after="120"/>
        <w:jc w:val="left"/>
      </w:pPr>
    </w:p>
    <w:p w14:paraId="535BD459">
      <w:pPr>
        <w:spacing w:after="60"/>
        <w:jc w:val="left"/>
      </w:pPr>
      <w:r>
        <w:rPr>
          <w:rFonts w:ascii="Times New Roman" w:hAnsi="Times New Roman"/>
          <w:b w:val="0"/>
          <w:sz w:val="22"/>
        </w:rPr>
        <w:t>УТВЕРЖДАЮ</w:t>
      </w:r>
    </w:p>
    <w:p w14:paraId="45896A12"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Заместитель генерального директора Фонда перспективных исследований (по доверенности от 18.01.2023 №177Д)</w:t>
      </w:r>
    </w:p>
    <w:p w14:paraId="615CE4D1"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______________ И.А. Сидоров</w:t>
      </w:r>
    </w:p>
    <w:p w14:paraId="54383736">
      <w:pPr>
        <w:spacing w:after="240"/>
        <w:jc w:val="left"/>
      </w:pPr>
      <w:r>
        <w:rPr>
          <w:rFonts w:ascii="Times New Roman" w:hAnsi="Times New Roman"/>
          <w:b w:val="0"/>
          <w:sz w:val="20"/>
        </w:rPr>
        <w:t>«___» _________ 202_ г.</w:t>
      </w:r>
    </w:p>
    <w:p w14:paraId="163E0ECD">
      <w:pPr>
        <w:spacing w:after="120"/>
        <w:jc w:val="left"/>
      </w:pPr>
    </w:p>
    <w:p w14:paraId="23F896CC">
      <w:pPr>
        <w:spacing w:after="120"/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 w14:paraId="343621F0"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на выполнение оперативной работы:</w:t>
      </w:r>
    </w:p>
    <w:p w14:paraId="40686A9F">
      <w:pPr>
        <w:spacing w:after="120"/>
        <w:jc w:val="center"/>
      </w:pPr>
      <w:r>
        <w:rPr>
          <w:rFonts w:ascii="Times New Roman" w:hAnsi="Times New Roman"/>
          <w:b/>
          <w:sz w:val="26"/>
        </w:rPr>
        <w:t>«Разработка программно-аппаратного модуля автономного роевого интеллекта с бортовой LLM»</w:t>
      </w:r>
    </w:p>
    <w:p w14:paraId="513CC383">
      <w:pPr>
        <w:spacing w:after="480"/>
        <w:jc w:val="center"/>
      </w:pPr>
      <w:r>
        <w:rPr>
          <w:rFonts w:ascii="Times New Roman" w:hAnsi="Times New Roman"/>
          <w:b/>
          <w:sz w:val="24"/>
        </w:rPr>
        <w:t>шифр «Звездочёт-Серафим»</w:t>
      </w:r>
    </w:p>
    <w:p w14:paraId="5BE581E9">
      <w:pPr>
        <w:spacing w:after="60"/>
        <w:jc w:val="center"/>
      </w:pPr>
      <w:r>
        <w:rPr>
          <w:rFonts w:ascii="Times New Roman" w:hAnsi="Times New Roman"/>
          <w:b w:val="0"/>
          <w:sz w:val="22"/>
        </w:rPr>
        <w:t>г. Москва</w:t>
      </w:r>
    </w:p>
    <w:p w14:paraId="03160AE7">
      <w:pPr>
        <w:spacing w:after="480"/>
        <w:jc w:val="center"/>
      </w:pPr>
      <w:r>
        <w:rPr>
          <w:rFonts w:ascii="Times New Roman" w:hAnsi="Times New Roman"/>
          <w:b w:val="0"/>
          <w:sz w:val="22"/>
        </w:rPr>
        <w:t>2026 г.</w:t>
      </w:r>
    </w:p>
    <w:p w14:paraId="38E28182">
      <w:pPr>
        <w:spacing w:after="160"/>
        <w:jc w:val="left"/>
      </w:pPr>
      <w:r>
        <w:rPr>
          <w:rFonts w:ascii="Times New Roman" w:hAnsi="Times New Roman"/>
          <w:b/>
          <w:sz w:val="24"/>
        </w:rPr>
        <w:t>1. Основание для выполнения оперативной работы</w:t>
      </w:r>
    </w:p>
    <w:p w14:paraId="388B76AA">
      <w:pPr>
        <w:spacing w:after="240"/>
        <w:jc w:val="left"/>
      </w:pPr>
      <w:r>
        <w:rPr>
          <w:rFonts w:ascii="Times New Roman" w:hAnsi="Times New Roman"/>
          <w:b w:val="0"/>
          <w:sz w:val="22"/>
        </w:rPr>
        <w:t>Основанием для выполнения оперативной работы (далее – ОР) является решение Межведомственного совета по рассмотрению вопросов, связанных с оказанием мер государственной поддержки гражданским разработчикам, предприятиям гражданской сферы, творческим коллективам, изобретателям – физическим лицам, занимающимся разработкой и производством специальной номенклатуры, компонентов и комплектующих для целей специальной военной операции (протокол от «___» _______ 202_ г. №____).</w:t>
      </w:r>
    </w:p>
    <w:p w14:paraId="462EE612">
      <w:pPr>
        <w:spacing w:after="160"/>
        <w:jc w:val="left"/>
      </w:pPr>
      <w:r>
        <w:rPr>
          <w:rFonts w:ascii="Times New Roman" w:hAnsi="Times New Roman"/>
          <w:b/>
          <w:sz w:val="24"/>
        </w:rPr>
        <w:t>2. Сроки выполнения оперативной работы</w:t>
      </w:r>
    </w:p>
    <w:p w14:paraId="3F383B03"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Начало: дата заключения договора на выполнение ОР (далее – T0).</w:t>
      </w:r>
    </w:p>
    <w:p w14:paraId="17DECE54">
      <w:pPr>
        <w:spacing w:after="240"/>
        <w:jc w:val="left"/>
      </w:pPr>
      <w:r>
        <w:rPr>
          <w:rFonts w:ascii="Times New Roman" w:hAnsi="Times New Roman"/>
          <w:b w:val="0"/>
          <w:sz w:val="22"/>
        </w:rPr>
        <w:t>Окончание: «30» сентября 2027 г. (T0 + 12 месяцев).</w:t>
      </w:r>
    </w:p>
    <w:p w14:paraId="0060AF00">
      <w:pPr>
        <w:spacing w:after="160"/>
        <w:jc w:val="left"/>
      </w:pPr>
      <w:r>
        <w:rPr>
          <w:rFonts w:ascii="Times New Roman" w:hAnsi="Times New Roman"/>
          <w:b/>
          <w:sz w:val="24"/>
        </w:rPr>
        <w:t>3. Цели и задачи оперативной работы</w:t>
      </w:r>
    </w:p>
    <w:p w14:paraId="66EAA746">
      <w:pPr>
        <w:spacing w:after="120"/>
        <w:jc w:val="left"/>
      </w:pPr>
      <w:r>
        <w:rPr>
          <w:rFonts w:ascii="Times New Roman" w:hAnsi="Times New Roman"/>
          <w:b/>
          <w:sz w:val="22"/>
        </w:rPr>
        <w:t>3.1. Цели оперативной работы</w:t>
      </w:r>
    </w:p>
    <w:p w14:paraId="05D70F36">
      <w:pPr>
        <w:spacing w:after="160"/>
        <w:jc w:val="left"/>
      </w:pPr>
      <w:r>
        <w:rPr>
          <w:rFonts w:ascii="Times New Roman" w:hAnsi="Times New Roman"/>
          <w:b w:val="0"/>
          <w:sz w:val="22"/>
        </w:rPr>
        <w:t>Целью ОР является создание демонстрационного образца (далее – ДО) программно-аппаратного модуля автономного роевого интеллекта (далее – Модуль), обеспечивающего автономное (без участия оператора) тактическое поведение БпЛА в составе роя, стратегическое планирование и выработку инструментов на наземной станции, а также функционирование роя без интернет-соединения и сигналов ГНСС, и его апробация в условиях, максимально приближенных к реальной эксплуатации.</w:t>
      </w:r>
    </w:p>
    <w:p w14:paraId="062FF59A">
      <w:pPr>
        <w:spacing w:after="160"/>
        <w:jc w:val="left"/>
      </w:pPr>
      <w:r>
        <w:rPr>
          <w:rFonts w:ascii="Times New Roman" w:hAnsi="Times New Roman"/>
          <w:b w:val="0"/>
          <w:sz w:val="22"/>
        </w:rPr>
        <w:t>Модуль устанавливается на существующие БпЛА (мультироторные и самолётного типа) через стандартные интерфейсы (MAVLink, UART, SPI) и не включает планер БпЛА, двигатели и полезную нагрузку.</w:t>
      </w:r>
    </w:p>
    <w:p w14:paraId="03ECA0E1"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В рамках ОР необходимо руководствоваться следующими базовыми принципами:</w:t>
      </w:r>
    </w:p>
    <w:p w14:paraId="0D816FF8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автономное управление беспилотными единицами — бортовая LLM Serafim V2 Q8 (1,6 ГБ) принимает тактические решения за ≤200 мс без связи с оператором;</w:t>
      </w:r>
    </w:p>
    <w:p w14:paraId="662C5CF1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самоорганизация и взаимодействие между беспилотными единицами — UWB-сетка (DW1000, ±10 см) и аукционный алгоритм распределения целей без конфликтов;</w:t>
      </w:r>
    </w:p>
    <w:p w14:paraId="05AD81BA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минимизация связи между беспилотными единицами — wavelet-сжатие (×8-12), бинарный протокол, LoRa-пакеты ≤51 байт;</w:t>
      </w:r>
    </w:p>
    <w:p w14:paraId="092D9AB4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масштабируемость роя — mesh-архитектура: каждый новый агент является узлом сети, до 10+ БпЛА;</w:t>
      </w:r>
    </w:p>
    <w:p w14:paraId="2B16B83E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возможность управления гетерогенными и гибридными роями — Hardware Abstraction Layer: автоопределение Nvidia/Rockchip/Hailo/Intel/CPU;</w:t>
      </w:r>
    </w:p>
    <w:p w14:paraId="17886F3A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машинное обучение и предиктивная аналитика — YOLOv8 (14 классов, mAP 0,995), Serafim (5/5 точных решений);</w:t>
      </w:r>
    </w:p>
    <w:p w14:paraId="0FDE3CD4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распределённые вычисления — три уровня ИИ: борт (200 мс), ретранслятор (автономия), земля (стратегия, 5-40 с);</w:t>
      </w:r>
    </w:p>
    <w:p w14:paraId="543EBB8C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интеграция и обработка данных с различных сенсоров — камера, UWB, IMU, барометр, LoRa RSSI;</w:t>
      </w:r>
    </w:p>
    <w:p w14:paraId="3E97505F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возможность интеграции оборудования сторонних разработчиков — стандартные интерфейсы MAVLink, UART, SPI, I2C.</w:t>
      </w:r>
    </w:p>
    <w:p w14:paraId="326C5849">
      <w:pPr>
        <w:spacing w:after="120"/>
        <w:jc w:val="left"/>
      </w:pPr>
    </w:p>
    <w:p w14:paraId="6EBB9085">
      <w:pPr>
        <w:spacing w:after="120"/>
        <w:jc w:val="left"/>
      </w:pPr>
      <w:r>
        <w:rPr>
          <w:rFonts w:ascii="Times New Roman" w:hAnsi="Times New Roman"/>
          <w:b/>
          <w:sz w:val="22"/>
        </w:rPr>
        <w:t>3.2. Задачи оперативной работы</w:t>
      </w:r>
    </w:p>
    <w:p w14:paraId="5B23C58A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Разработка проектной конструкторской документации.</w:t>
      </w:r>
    </w:p>
    <w:p w14:paraId="68507FB9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Разработка эскизной конструкторской документации, программной документации и изготовление ДО для испытаний.</w:t>
      </w:r>
    </w:p>
    <w:p w14:paraId="7A063E52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Испытания ДО.</w:t>
      </w:r>
    </w:p>
    <w:p w14:paraId="4A2C2526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Изготовление ДО для апробации и подготовка к апробации, включающая корректировку документации по результатам испытаний и разработку программы и методики апробации.</w:t>
      </w:r>
    </w:p>
    <w:p w14:paraId="0B82B500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Апробация ДО.</w:t>
      </w:r>
    </w:p>
    <w:p w14:paraId="04FC0F60">
      <w:pPr>
        <w:spacing w:after="120"/>
        <w:jc w:val="left"/>
      </w:pPr>
    </w:p>
    <w:p w14:paraId="75C83ED2">
      <w:pPr>
        <w:spacing w:after="160"/>
        <w:jc w:val="left"/>
      </w:pPr>
      <w:r>
        <w:rPr>
          <w:rFonts w:ascii="Times New Roman" w:hAnsi="Times New Roman"/>
          <w:b/>
          <w:sz w:val="24"/>
        </w:rPr>
        <w:t>4. Технические требования к демонстрационному образцу</w:t>
      </w:r>
    </w:p>
    <w:p w14:paraId="7ABAB94D">
      <w:pPr>
        <w:spacing w:after="120"/>
        <w:jc w:val="left"/>
      </w:pPr>
      <w:r>
        <w:rPr>
          <w:rFonts w:ascii="Times New Roman" w:hAnsi="Times New Roman"/>
          <w:b/>
          <w:sz w:val="22"/>
        </w:rPr>
        <w:t>4.1. Назначение демонстрационного образца</w:t>
      </w:r>
    </w:p>
    <w:p w14:paraId="499BAAC1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Модуль предназначен для оснащения существующих БпЛА (мультироторных и самолётного типа) автономным роевым интеллектом, обеспечивающим поражение наземных объектов тактическими подразделениями на дальностях, определяемых носителем БпЛА, посредством применения автономного роя БпЛА днём и ночью в следующих метеоусловиях:</w:t>
      </w:r>
    </w:p>
    <w:p w14:paraId="0915AB1C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скорость ветра у земли до 10 м/с;</w:t>
      </w:r>
    </w:p>
    <w:p w14:paraId="6A73A8A4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температура от минус 20°С до плюс 50°С;</w:t>
      </w:r>
    </w:p>
    <w:p w14:paraId="630EA4BA">
      <w:pPr>
        <w:spacing w:after="160"/>
        <w:jc w:val="left"/>
      </w:pPr>
      <w:r>
        <w:rPr>
          <w:rFonts w:ascii="Times New Roman" w:hAnsi="Times New Roman"/>
          <w:b w:val="0"/>
          <w:sz w:val="20"/>
        </w:rPr>
        <w:t>− повышенная влажность воздуха до 98% (при 3°С).</w:t>
      </w:r>
    </w:p>
    <w:p w14:paraId="6CA1B010">
      <w:pPr>
        <w:spacing w:after="120"/>
        <w:jc w:val="left"/>
      </w:pPr>
      <w:r>
        <w:rPr>
          <w:rFonts w:ascii="Times New Roman" w:hAnsi="Times New Roman"/>
          <w:b/>
          <w:sz w:val="22"/>
        </w:rPr>
        <w:t>4.2. Состав демонстрационного образца</w:t>
      </w:r>
    </w:p>
    <w:p w14:paraId="6B2C95AB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В состав ДО должны входить:</w:t>
      </w:r>
    </w:p>
    <w:p w14:paraId="1B78AF25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бортовой вычислитель модуля (Orange Pi 5, 8 ГБ ОЗУ, Rockchip NPU 6 TOPS) с предустановленным ПО Serafim V2 Q8 (1,6 ГБ), LoRa-приёмопередатчиком E22-900M30S и UWB-модулем DW1000 — 6 комплектов (для установки на БпЛА-носители заказчика или типовые рамы);</w:t>
      </w:r>
    </w:p>
    <w:p w14:paraId="297D3BF2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бортовой вычислитель ретранслятора (Orange Pi 5, 8 ГБ ОЗУ) с предустановленным ПО Serafim, LTE-модемом и двумя LoRa-приёмопередатчиками (рой ↔ земля) — 1 комплект;</w:t>
      </w:r>
    </w:p>
    <w:p w14:paraId="12E573E4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наземная станция управления (ноутбук с GPU не менее 12 ГБ VRAM) с предустановленным ПО Thinker (DeepSeek-R1 8B) и Coder (DeepSeek-Coder V2) — 1 комплект;</w:t>
      </w:r>
    </w:p>
    <w:p w14:paraId="24A272AF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комплект документации (эксплуатационная + программная) — 1 комплект.</w:t>
      </w:r>
    </w:p>
    <w:p w14:paraId="78279BD1">
      <w:pPr>
        <w:spacing w:after="120"/>
        <w:jc w:val="left"/>
      </w:pPr>
    </w:p>
    <w:p w14:paraId="4D01C833">
      <w:pPr>
        <w:spacing w:after="160"/>
        <w:jc w:val="left"/>
      </w:pPr>
      <w:r>
        <w:rPr>
          <w:rFonts w:ascii="Times New Roman" w:hAnsi="Times New Roman"/>
          <w:b w:val="0"/>
          <w:sz w:val="20"/>
        </w:rPr>
        <w:t>Примечание: БпЛА-носители (рамы, моторы, регуляторы, пропеллеры, аккумуляторы) и транспортно-пусковые установки не входят в состав ДО и приобретаются отдельно для целей испытаний и апробации как испытательное оборудование.</w:t>
      </w:r>
    </w:p>
    <w:p w14:paraId="7EAB9586">
      <w:pPr>
        <w:spacing w:after="120"/>
        <w:jc w:val="left"/>
      </w:pPr>
      <w:r>
        <w:rPr>
          <w:rFonts w:ascii="Times New Roman" w:hAnsi="Times New Roman"/>
          <w:b/>
          <w:sz w:val="22"/>
        </w:rPr>
        <w:t>4.3. Функциональные требования (требования по назначению)</w:t>
      </w:r>
    </w:p>
    <w:p w14:paraId="0FC4FFEA">
      <w:pPr>
        <w:spacing w:after="80"/>
        <w:jc w:val="left"/>
      </w:pPr>
      <w:r>
        <w:rPr>
          <w:rFonts w:ascii="Times New Roman" w:hAnsi="Times New Roman"/>
          <w:b/>
          <w:sz w:val="20"/>
        </w:rPr>
        <w:t>4.3.1. Общие технические требования к Модулю</w:t>
      </w:r>
    </w:p>
    <w:p w14:paraId="1E072A7E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Модуль устанавливается на БпЛА-носитель через стандартные интерфейсы (MAVLink v2 по UART, питание 5-12 В, ≤8 Вт).</w:t>
      </w:r>
    </w:p>
    <w:p w14:paraId="31908ED4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Определение текущего местоположения БпЛА (для навигации) должно обеспечиваться в условиях отсутствия сигналов ГНСС посредством UWB-трилатерации, IMU dead reckoning и оптического потока.</w:t>
      </w:r>
    </w:p>
    <w:p w14:paraId="72768EBD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Приёмники сигналов ГНСС (при наличии в БпЛА-носителе) должны иметь возможность аппаратного отключения.</w:t>
      </w:r>
    </w:p>
    <w:p w14:paraId="6AF73A7A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Должна обеспечиваться возможность применения БпЛА с Модулем как в роевом режиме (с задействованием роевого интеллекта), так и в одиночном режиме (без взаимодействия между БпЛА).</w:t>
      </w:r>
    </w:p>
    <w:p w14:paraId="28B97D6B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Должна обеспечиваться возможность одновременного бесконфликтного применения нескольких роев БпЛА в одном районе с разными полётными заданиями.</w:t>
      </w:r>
    </w:p>
    <w:p w14:paraId="3A484152">
      <w:pPr>
        <w:spacing w:after="120"/>
        <w:jc w:val="left"/>
      </w:pPr>
    </w:p>
    <w:p w14:paraId="47D4566D">
      <w:pPr>
        <w:spacing w:after="80"/>
        <w:jc w:val="left"/>
      </w:pPr>
      <w:r>
        <w:rPr>
          <w:rFonts w:ascii="Times New Roman" w:hAnsi="Times New Roman"/>
          <w:b/>
          <w:sz w:val="20"/>
        </w:rPr>
        <w:t>4.3.2. Требования к бортовому ИИ (Serafim)</w:t>
      </w:r>
    </w:p>
    <w:p w14:paraId="09DD70E1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Принятие тактических решений за ≤200 мс без связи с оператором и без интернет-соединения.</w:t>
      </w:r>
    </w:p>
    <w:p w14:paraId="4E9B636D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Действия: ATTACK (атака), OBSERVE (наблюдение), RTB (возврат на базу), PATROL (патрулирование).</w:t>
      </w:r>
    </w:p>
    <w:p w14:paraId="753CEE5C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Автоматический RTB при уровне заряда батареи носителя &lt;15%.</w:t>
      </w:r>
    </w:p>
    <w:p w14:paraId="53718BC8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Автоматическое переключение в одиночный режим при потере связи с роем и обратное переключение при восстановлении.</w:t>
      </w:r>
    </w:p>
    <w:p w14:paraId="3D4FDB25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Точность тактических решений — не менее 95% (подтверждено на тестовой выборке: 5/5).</w:t>
      </w:r>
    </w:p>
    <w:p w14:paraId="3C9B9D50">
      <w:pPr>
        <w:spacing w:after="120"/>
        <w:jc w:val="left"/>
      </w:pPr>
    </w:p>
    <w:p w14:paraId="0FE4F570">
      <w:pPr>
        <w:spacing w:after="80"/>
        <w:jc w:val="left"/>
      </w:pPr>
      <w:r>
        <w:rPr>
          <w:rFonts w:ascii="Times New Roman" w:hAnsi="Times New Roman"/>
          <w:b/>
          <w:sz w:val="20"/>
        </w:rPr>
        <w:t>4.3.3. Требования к наземному ИИ (Thinker + Coder)</w:t>
      </w:r>
    </w:p>
    <w:p w14:paraId="725472C6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Thinker (DeepSeek-R1 8B): стратегический анализ обстановки, приоритезация целей, выработка плана действий роя за ≤10 с (GPU) / ≤60 с (CPU).</w:t>
      </w:r>
    </w:p>
    <w:p w14:paraId="2E856FA8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Coder (DeepSeek-Coder V2): написание инструментов для роя во время миссии (скрипты, адаптеры протоколов, обработчики данных) за ≤5 с (GPU) / ≤45 с (CPU).</w:t>
      </w:r>
    </w:p>
    <w:p w14:paraId="326E429D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Поддержка сжатого канала связи с роем: LoRa-пакеты ≤51 байт, wavelet-сжатие телеметрии ×8-12.</w:t>
      </w:r>
    </w:p>
    <w:p w14:paraId="69D8E429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Автоматический выбор канала связи с полевой станцией: LTE гражданский → Sprint-030 (GEO) → Гонец (LEO) → Бюро 1440 (перспективный).</w:t>
      </w:r>
    </w:p>
    <w:p w14:paraId="75916F6E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При отсутствии интернет-канала: функции Thinker выполняет Serafim на ретрансляторе (автономный режим).</w:t>
      </w:r>
    </w:p>
    <w:p w14:paraId="421C443D">
      <w:pPr>
        <w:spacing w:after="120"/>
        <w:jc w:val="left"/>
      </w:pPr>
    </w:p>
    <w:p w14:paraId="7EA0CD00">
      <w:pPr>
        <w:spacing w:after="80"/>
        <w:jc w:val="left"/>
      </w:pPr>
      <w:r>
        <w:rPr>
          <w:rFonts w:ascii="Times New Roman" w:hAnsi="Times New Roman"/>
          <w:b/>
          <w:sz w:val="20"/>
        </w:rPr>
        <w:t>4.3.4. Требования к взаимному позиционированию (UWB)</w:t>
      </w:r>
    </w:p>
    <w:p w14:paraId="7EF119D5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Пассивное измерение дистанций между БпЛА чипом DW1000 (не излучает — не пеленгуется).</w:t>
      </w:r>
    </w:p>
    <w:p w14:paraId="4D739AAC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Точность ±10 см на дистанции до 500 м.</w:t>
      </w:r>
    </w:p>
    <w:p w14:paraId="06AB08F0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Трилатерация при наличии 3+ соседей → относительные координаты роя.</w:t>
      </w:r>
    </w:p>
    <w:p w14:paraId="63BE4047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При наличии 1+ БпЛА с известной позицией → абсолютные координаты всего роя.</w:t>
      </w:r>
    </w:p>
    <w:p w14:paraId="77955B8C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Частота обновления: 10 Гц.</w:t>
      </w:r>
    </w:p>
    <w:p w14:paraId="69209805">
      <w:pPr>
        <w:spacing w:after="120"/>
        <w:jc w:val="left"/>
      </w:pPr>
    </w:p>
    <w:p w14:paraId="16D19A05">
      <w:pPr>
        <w:spacing w:after="80"/>
        <w:jc w:val="left"/>
      </w:pPr>
      <w:r>
        <w:rPr>
          <w:rFonts w:ascii="Times New Roman" w:hAnsi="Times New Roman"/>
          <w:b/>
          <w:sz w:val="20"/>
        </w:rPr>
        <w:t>4.3.5. Требования к связи (LoRa mesh)</w:t>
      </w:r>
    </w:p>
    <w:p w14:paraId="1B8BA631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Дальность БпЛА–БпЛА: до 5 км (прямая), до 50 км (mesh-ретрансляция).</w:t>
      </w:r>
    </w:p>
    <w:p w14:paraId="0707CB26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Дальность БпЛА–ретранслятор: до 10 км.</w:t>
      </w:r>
    </w:p>
    <w:p w14:paraId="66D01215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Частота: 868 МГц, мощность 30 dBm (1 Вт), помехоустойчивая.</w:t>
      </w:r>
    </w:p>
    <w:p w14:paraId="56FC521B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Размер пакета: ≤51 байт (сжатый бинарный протокол PromptCompressor, ×5,3).</w:t>
      </w:r>
    </w:p>
    <w:p w14:paraId="57F70597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Wavelet-сжатие (DWT Хаара) телеметрии: ×8-12 экономии полосы.</w:t>
      </w:r>
    </w:p>
    <w:p w14:paraId="74CF4BC6">
      <w:pPr>
        <w:spacing w:after="120"/>
        <w:jc w:val="left"/>
      </w:pPr>
    </w:p>
    <w:p w14:paraId="74079A9C">
      <w:pPr>
        <w:spacing w:after="80"/>
        <w:jc w:val="left"/>
      </w:pPr>
      <w:r>
        <w:rPr>
          <w:rFonts w:ascii="Times New Roman" w:hAnsi="Times New Roman"/>
          <w:b/>
          <w:sz w:val="20"/>
        </w:rPr>
        <w:t>4.3.6. Требования к обнаружению целей (YOLO)</w:t>
      </w:r>
    </w:p>
    <w:p w14:paraId="725557D9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− 14 классов: 6 типов БпЛА (zala, supercam, orlan, lancet, molniya, merlin) + 8 типов наземных целей (опорник, блиндаж, траншея, техника, артиллерия, командный пункт, склад боеприпасов, станция РЭБ).</w:t>
      </w:r>
    </w:p>
    <w:p w14:paraId="6B903527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Дальность обнаружения: до 1500 м (зависит от камеры носителя).</w:t>
      </w:r>
    </w:p>
    <w:p w14:paraId="02965FE2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Точность: mAP50 ≥0,95 на тестовой выборке.</w:t>
      </w:r>
    </w:p>
    <w:p w14:paraId="072FA0F4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Инференс: ≤15 мс/кадр на Rockchip NPU (6 TOPS), ≤8 мс на GPU.</w:t>
      </w:r>
    </w:p>
    <w:p w14:paraId="6411F485">
      <w:pPr>
        <w:spacing w:after="120"/>
        <w:jc w:val="left"/>
      </w:pPr>
    </w:p>
    <w:p w14:paraId="190AE34B">
      <w:pPr>
        <w:spacing w:after="80"/>
        <w:jc w:val="left"/>
      </w:pPr>
      <w:r>
        <w:rPr>
          <w:rFonts w:ascii="Times New Roman" w:hAnsi="Times New Roman"/>
          <w:b/>
          <w:sz w:val="20"/>
        </w:rPr>
        <w:t>4.3.7. Требования безопасности</w:t>
      </w:r>
    </w:p>
    <w:p w14:paraId="248FF8E6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Программное ограничение поиска объектов в непосредственной близости от точки пуска БпЛА-носителя.</w:t>
      </w:r>
    </w:p>
    <w:p w14:paraId="73E43170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Проверка допустимости и безопасности значений параметров полётного задания.</w:t>
      </w:r>
    </w:p>
    <w:p w14:paraId="60FB7972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Возможность внесения в полётное задание дополнительных зон, запрещённых для полёта и поиска.</w:t>
      </w:r>
    </w:p>
    <w:p w14:paraId="334AAD12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Программно-аппаратное предотвращение столкновений: UWB + IMU + terrain avoidance.</w:t>
      </w:r>
    </w:p>
    <w:p w14:paraId="4A27E616">
      <w:pPr>
        <w:spacing w:after="120"/>
        <w:jc w:val="left"/>
      </w:pPr>
    </w:p>
    <w:p w14:paraId="1F22AB86">
      <w:pPr>
        <w:spacing w:after="120"/>
        <w:jc w:val="left"/>
      </w:pPr>
      <w:r>
        <w:rPr>
          <w:rFonts w:ascii="Times New Roman" w:hAnsi="Times New Roman"/>
          <w:b/>
          <w:sz w:val="22"/>
        </w:rPr>
        <w:t>Приложение №1 к ТЗ на выполнение ОР «Звездочёт-Серафим»</w:t>
      </w:r>
    </w:p>
    <w:p w14:paraId="03E282CA">
      <w:pPr>
        <w:spacing w:after="160"/>
        <w:jc w:val="left"/>
      </w:pPr>
      <w:r>
        <w:rPr>
          <w:rFonts w:ascii="Times New Roman" w:hAnsi="Times New Roman"/>
          <w:b/>
          <w:sz w:val="22"/>
        </w:rPr>
        <w:t>Требования к количественным характеристикам ДО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5106"/>
        <w:gridCol w:w="2880"/>
      </w:tblGrid>
      <w:tr w14:paraId="6CF1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720BABD">
            <w:pPr>
              <w:spacing w:after="0" w:line="240" w:lineRule="auto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5106" w:type="dxa"/>
          </w:tcPr>
          <w:p w14:paraId="75D49100">
            <w:pPr>
              <w:spacing w:after="0" w:line="240" w:lineRule="auto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w="2880" w:type="dxa"/>
          </w:tcPr>
          <w:p w14:paraId="16D2892E">
            <w:pPr>
              <w:spacing w:after="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 w14:paraId="3BB9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2F25B9B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5106" w:type="dxa"/>
          </w:tcPr>
          <w:p w14:paraId="5D74FDC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Масса бортового вычислителя Модуля (с LoRa+UWB), г</w:t>
            </w:r>
          </w:p>
        </w:tc>
        <w:tc>
          <w:tcPr>
            <w:tcW w:w="2880" w:type="dxa"/>
          </w:tcPr>
          <w:p w14:paraId="20C473E4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80</w:t>
            </w:r>
          </w:p>
        </w:tc>
      </w:tr>
      <w:tr w14:paraId="6B13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18386B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5106" w:type="dxa"/>
          </w:tcPr>
          <w:p w14:paraId="144CF01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Энергопотребление бортового вычислителя, Вт</w:t>
            </w:r>
          </w:p>
        </w:tc>
        <w:tc>
          <w:tcPr>
            <w:tcW w:w="2880" w:type="dxa"/>
          </w:tcPr>
          <w:p w14:paraId="6D186E0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8</w:t>
            </w:r>
          </w:p>
        </w:tc>
      </w:tr>
      <w:tr w14:paraId="14E1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34D828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5106" w:type="dxa"/>
          </w:tcPr>
          <w:p w14:paraId="3D6BB35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Время загрузки и инициализации ПО Модуля, с</w:t>
            </w:r>
          </w:p>
        </w:tc>
        <w:tc>
          <w:tcPr>
            <w:tcW w:w="2880" w:type="dxa"/>
          </w:tcPr>
          <w:p w14:paraId="4DC818F0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30</w:t>
            </w:r>
          </w:p>
        </w:tc>
      </w:tr>
      <w:tr w14:paraId="05E4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B52AB1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5106" w:type="dxa"/>
          </w:tcPr>
          <w:p w14:paraId="1AF0490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Задержка тактического решения (Serafim), мс</w:t>
            </w:r>
          </w:p>
        </w:tc>
        <w:tc>
          <w:tcPr>
            <w:tcW w:w="2880" w:type="dxa"/>
          </w:tcPr>
          <w:p w14:paraId="30339BA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200</w:t>
            </w:r>
          </w:p>
        </w:tc>
      </w:tr>
      <w:tr w14:paraId="65E7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03E7EF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5106" w:type="dxa"/>
          </w:tcPr>
          <w:p w14:paraId="07F59F5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Задержка стратегического анализа (Thinker, GPU), с</w:t>
            </w:r>
          </w:p>
        </w:tc>
        <w:tc>
          <w:tcPr>
            <w:tcW w:w="2880" w:type="dxa"/>
          </w:tcPr>
          <w:p w14:paraId="33710AC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10</w:t>
            </w:r>
          </w:p>
        </w:tc>
      </w:tr>
      <w:tr w14:paraId="014A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27573DC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5106" w:type="dxa"/>
          </w:tcPr>
          <w:p w14:paraId="323B37AE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Задержка написания инструмента (Coder, GPU), с</w:t>
            </w:r>
          </w:p>
        </w:tc>
        <w:tc>
          <w:tcPr>
            <w:tcW w:w="2880" w:type="dxa"/>
          </w:tcPr>
          <w:p w14:paraId="0201A85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5</w:t>
            </w:r>
          </w:p>
        </w:tc>
      </w:tr>
      <w:tr w14:paraId="754A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233AA59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5106" w:type="dxa"/>
          </w:tcPr>
          <w:p w14:paraId="2631C0C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Дальность взаимного позиционирования БпЛА (UWB), м</w:t>
            </w:r>
          </w:p>
        </w:tc>
        <w:tc>
          <w:tcPr>
            <w:tcW w:w="2880" w:type="dxa"/>
          </w:tcPr>
          <w:p w14:paraId="477AD5C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</w:tr>
      <w:tr w14:paraId="257E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B003CF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5106" w:type="dxa"/>
          </w:tcPr>
          <w:p w14:paraId="6F66C38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Точность взаимного позиционирования, см</w:t>
            </w:r>
          </w:p>
        </w:tc>
        <w:tc>
          <w:tcPr>
            <w:tcW w:w="2880" w:type="dxa"/>
          </w:tcPr>
          <w:p w14:paraId="044DCA3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±10</w:t>
            </w:r>
          </w:p>
        </w:tc>
      </w:tr>
      <w:tr w14:paraId="1E47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2FB296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5106" w:type="dxa"/>
          </w:tcPr>
          <w:p w14:paraId="3B127D1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Дальность связи БпЛА–БпЛА (LoRa, прямая), км</w:t>
            </w:r>
          </w:p>
        </w:tc>
        <w:tc>
          <w:tcPr>
            <w:tcW w:w="2880" w:type="dxa"/>
          </w:tcPr>
          <w:p w14:paraId="54A0BF7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 w14:paraId="006E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86718B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5106" w:type="dxa"/>
          </w:tcPr>
          <w:p w14:paraId="5C4D8E9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Дальность связи БпЛА–ретранслятор (LoRa), км</w:t>
            </w:r>
          </w:p>
        </w:tc>
        <w:tc>
          <w:tcPr>
            <w:tcW w:w="2880" w:type="dxa"/>
          </w:tcPr>
          <w:p w14:paraId="39391C5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14:paraId="57E7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5058FC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5106" w:type="dxa"/>
          </w:tcPr>
          <w:p w14:paraId="68F8CF46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Дальность обнаружения объектов (YOLO), м</w:t>
            </w:r>
          </w:p>
        </w:tc>
        <w:tc>
          <w:tcPr>
            <w:tcW w:w="2880" w:type="dxa"/>
          </w:tcPr>
          <w:p w14:paraId="404BA47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1500</w:t>
            </w:r>
          </w:p>
        </w:tc>
      </w:tr>
      <w:tr w14:paraId="23EB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3E9F19C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5106" w:type="dxa"/>
          </w:tcPr>
          <w:p w14:paraId="545B78F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Максимальное количество БпЛА в одном рое, ед.</w:t>
            </w:r>
          </w:p>
        </w:tc>
        <w:tc>
          <w:tcPr>
            <w:tcW w:w="2880" w:type="dxa"/>
          </w:tcPr>
          <w:p w14:paraId="23EBA97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14:paraId="61ED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761B9E4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5106" w:type="dxa"/>
          </w:tcPr>
          <w:p w14:paraId="5837899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Максимальное количество одновременно работающих роев</w:t>
            </w:r>
          </w:p>
        </w:tc>
        <w:tc>
          <w:tcPr>
            <w:tcW w:w="2880" w:type="dxa"/>
          </w:tcPr>
          <w:p w14:paraId="5751D14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 w14:paraId="74A7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962786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5106" w:type="dxa"/>
          </w:tcPr>
          <w:p w14:paraId="36E35CE4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Время развёртывания наземной станции, мин</w:t>
            </w:r>
          </w:p>
        </w:tc>
        <w:tc>
          <w:tcPr>
            <w:tcW w:w="2880" w:type="dxa"/>
          </w:tcPr>
          <w:p w14:paraId="762F6E8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≤ 5</w:t>
            </w:r>
          </w:p>
        </w:tc>
      </w:tr>
    </w:tbl>
    <w:p w14:paraId="6954A72A">
      <w:pPr>
        <w:spacing w:after="120"/>
        <w:jc w:val="left"/>
      </w:pPr>
    </w:p>
    <w:p w14:paraId="671F68F2">
      <w:pPr>
        <w:spacing w:after="240"/>
        <w:jc w:val="left"/>
      </w:pPr>
      <w:r>
        <w:rPr>
          <w:rFonts w:ascii="Times New Roman" w:hAnsi="Times New Roman"/>
          <w:b w:val="0"/>
          <w:sz w:val="18"/>
        </w:rPr>
        <w:t>Примечание: лётные характеристики (скорость, дальность, высота, время полёта) определяются носителем БпЛА и в характеристики Модуля не входят.</w:t>
      </w:r>
    </w:p>
    <w:p w14:paraId="169A6E8C">
      <w:pPr>
        <w:spacing w:after="120"/>
        <w:jc w:val="left"/>
      </w:pPr>
      <w:r>
        <w:rPr>
          <w:rFonts w:ascii="Times New Roman" w:hAnsi="Times New Roman"/>
          <w:b/>
          <w:sz w:val="22"/>
        </w:rPr>
        <w:t>Приложение №2 к ТЗ на выполнение ОР «Звездочёт-Серафим»</w:t>
      </w:r>
    </w:p>
    <w:p w14:paraId="640985D1">
      <w:pPr>
        <w:spacing w:after="160"/>
        <w:jc w:val="left"/>
      </w:pPr>
      <w:r>
        <w:rPr>
          <w:rFonts w:ascii="Times New Roman" w:hAnsi="Times New Roman"/>
          <w:b/>
          <w:sz w:val="22"/>
        </w:rPr>
        <w:t>Требования к качественным характеристикам ДО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518"/>
        <w:gridCol w:w="4253"/>
      </w:tblGrid>
      <w:tr w14:paraId="33F8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04EB62A2">
            <w:pPr>
              <w:spacing w:after="0" w:line="240" w:lineRule="auto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3518" w:type="dxa"/>
          </w:tcPr>
          <w:p w14:paraId="151FC17F">
            <w:pPr>
              <w:spacing w:after="0" w:line="240" w:lineRule="auto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w="4253" w:type="dxa"/>
          </w:tcPr>
          <w:p w14:paraId="27AEA1ED">
            <w:pPr>
              <w:spacing w:after="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 w14:paraId="020C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35F60E8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518" w:type="dxa"/>
          </w:tcPr>
          <w:p w14:paraId="7DA7271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Тип БпЛА-носителей Модуля</w:t>
            </w:r>
          </w:p>
        </w:tc>
        <w:tc>
          <w:tcPr>
            <w:tcW w:w="4253" w:type="dxa"/>
          </w:tcPr>
          <w:p w14:paraId="07F5A6E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Мультироторный (разведчик, камикадзе) + самолётный (ретранслятор)</w:t>
            </w:r>
          </w:p>
        </w:tc>
      </w:tr>
      <w:tr w14:paraId="20D4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08EC778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518" w:type="dxa"/>
          </w:tcPr>
          <w:p w14:paraId="649D2D8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Тип управления роем</w:t>
            </w:r>
          </w:p>
        </w:tc>
        <w:tc>
          <w:tcPr>
            <w:tcW w:w="4253" w:type="dxa"/>
          </w:tcPr>
          <w:p w14:paraId="6B9CC79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Децентрализованный (аукцион целей + роевой консенсус)</w:t>
            </w:r>
          </w:p>
        </w:tc>
      </w:tr>
      <w:tr w14:paraId="5736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3CAC68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518" w:type="dxa"/>
          </w:tcPr>
          <w:p w14:paraId="47050C7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Тип бортового ИИ</w:t>
            </w:r>
          </w:p>
        </w:tc>
        <w:tc>
          <w:tcPr>
            <w:tcW w:w="4253" w:type="dxa"/>
          </w:tcPr>
          <w:p w14:paraId="12FBCF4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Квантованная LLM (Serafim V2 Q8, 1,6 ГБ, архитектура Qwen2-1.5B)</w:t>
            </w:r>
          </w:p>
        </w:tc>
      </w:tr>
      <w:tr w14:paraId="2435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479E23F4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518" w:type="dxa"/>
          </w:tcPr>
          <w:p w14:paraId="1F1FA2B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Тип наземного ИИ</w:t>
            </w:r>
          </w:p>
        </w:tc>
        <w:tc>
          <w:tcPr>
            <w:tcW w:w="4253" w:type="dxa"/>
          </w:tcPr>
          <w:p w14:paraId="67F2F926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Двухмодельный: Thinker (R1 8B) + Coder (CoderV2)</w:t>
            </w:r>
          </w:p>
        </w:tc>
      </w:tr>
      <w:tr w14:paraId="5149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905DEF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518" w:type="dxa"/>
          </w:tcPr>
          <w:p w14:paraId="7D923B4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Типы датчиков и сенсоров</w:t>
            </w:r>
          </w:p>
        </w:tc>
        <w:tc>
          <w:tcPr>
            <w:tcW w:w="4253" w:type="dxa"/>
          </w:tcPr>
          <w:p w14:paraId="08469940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Камера RGB, UWB DW1000, IMU 6-DOF, барометр, LoRa RSSI</w:t>
            </w:r>
          </w:p>
        </w:tc>
      </w:tr>
      <w:tr w14:paraId="3F58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57C09C8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518" w:type="dxa"/>
          </w:tcPr>
          <w:p w14:paraId="57401D5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Типы распознаваемых объектов</w:t>
            </w:r>
          </w:p>
        </w:tc>
        <w:tc>
          <w:tcPr>
            <w:tcW w:w="4253" w:type="dxa"/>
          </w:tcPr>
          <w:p w14:paraId="0A9564A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14 классов: 6 типов БпЛА + 8 типов наземных целей</w:t>
            </w:r>
          </w:p>
        </w:tc>
      </w:tr>
      <w:tr w14:paraId="4554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DC4ADD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518" w:type="dxa"/>
          </w:tcPr>
          <w:p w14:paraId="5D6948E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Метод навигации без ГНСС</w:t>
            </w:r>
          </w:p>
        </w:tc>
        <w:tc>
          <w:tcPr>
            <w:tcW w:w="4253" w:type="dxa"/>
          </w:tcPr>
          <w:p w14:paraId="3671428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UWB-трилатерация + IMU dead reckoning + оптический поток</w:t>
            </w:r>
          </w:p>
        </w:tc>
      </w:tr>
      <w:tr w14:paraId="4CB1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543A42B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518" w:type="dxa"/>
          </w:tcPr>
          <w:p w14:paraId="6C1861D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Метод взаимного позиционирования</w:t>
            </w:r>
          </w:p>
        </w:tc>
        <w:tc>
          <w:tcPr>
            <w:tcW w:w="4253" w:type="dxa"/>
          </w:tcPr>
          <w:p w14:paraId="73402E14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DW1000 UWB ranging (пассивный, ±10 см, не пеленгуется)</w:t>
            </w:r>
          </w:p>
        </w:tc>
      </w:tr>
      <w:tr w14:paraId="1ACE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4BB5B1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518" w:type="dxa"/>
          </w:tcPr>
          <w:p w14:paraId="5FEFD86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Метод определения статуса БпЛА в рое</w:t>
            </w:r>
          </w:p>
        </w:tc>
        <w:tc>
          <w:tcPr>
            <w:tcW w:w="4253" w:type="dxa"/>
          </w:tcPr>
          <w:p w14:paraId="3772EF5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LoRa heartbeat (1 Гц) + UWB-дистанция + криптографическая подпись пакета</w:t>
            </w:r>
          </w:p>
        </w:tc>
      </w:tr>
      <w:tr w14:paraId="25FF5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7FC597A6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518" w:type="dxa"/>
          </w:tcPr>
          <w:p w14:paraId="328511B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Метод определения принадлежности к рою</w:t>
            </w:r>
          </w:p>
        </w:tc>
        <w:tc>
          <w:tcPr>
            <w:tcW w:w="4253" w:type="dxa"/>
          </w:tcPr>
          <w:p w14:paraId="46722AA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Криптоподпись в LoRa-пакете + аппаратный LED-индикатор</w:t>
            </w:r>
          </w:p>
        </w:tc>
      </w:tr>
      <w:tr w14:paraId="48225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E12DAA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3518" w:type="dxa"/>
          </w:tcPr>
          <w:p w14:paraId="20737D9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Метод связи БпЛА–БпЛА и БпЛА–ретранслятор</w:t>
            </w:r>
          </w:p>
        </w:tc>
        <w:tc>
          <w:tcPr>
            <w:tcW w:w="4253" w:type="dxa"/>
          </w:tcPr>
          <w:p w14:paraId="664C5B94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LoRa 868 МГц, 30 dBm, mesh-топология, ≤51 байт/пакет</w:t>
            </w:r>
          </w:p>
        </w:tc>
      </w:tr>
      <w:tr w14:paraId="3609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7FACAEE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3518" w:type="dxa"/>
          </w:tcPr>
          <w:p w14:paraId="184F92F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Метод связи ретранслятор–наземная станция</w:t>
            </w:r>
          </w:p>
        </w:tc>
        <w:tc>
          <w:tcPr>
            <w:tcW w:w="4253" w:type="dxa"/>
          </w:tcPr>
          <w:p w14:paraId="1F15684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LTE (гражданский) / Sprint-030 (GEO) / Гонец (LEO) / Бюро 1440 (LEO, перспективный). Авто-выбор.</w:t>
            </w:r>
          </w:p>
        </w:tc>
      </w:tr>
      <w:tr w14:paraId="7F9A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5859D19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3518" w:type="dxa"/>
          </w:tcPr>
          <w:p w14:paraId="24BFC9E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Математический аппарат роевого интеллекта</w:t>
            </w:r>
          </w:p>
        </w:tc>
        <w:tc>
          <w:tcPr>
            <w:tcW w:w="4253" w:type="dxa"/>
          </w:tcPr>
          <w:p w14:paraId="38F6576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Аукцион целей (SwarmDeconfliction), роевой консенсус (SwarmConsensus), бортовая LLM Serafim для тактических решений</w:t>
            </w:r>
          </w:p>
        </w:tc>
      </w:tr>
      <w:tr w14:paraId="6D300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259DB50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3518" w:type="dxa"/>
          </w:tcPr>
          <w:p w14:paraId="58C811C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Сжатие данных</w:t>
            </w:r>
          </w:p>
        </w:tc>
        <w:tc>
          <w:tcPr>
            <w:tcW w:w="4253" w:type="dxa"/>
          </w:tcPr>
          <w:p w14:paraId="4D52538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Wavelet DWT Хаара (×8-12) + бинарный протокол PromptCompressor (×5,3)</w:t>
            </w:r>
          </w:p>
        </w:tc>
      </w:tr>
      <w:tr w14:paraId="58A8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341CBFA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518" w:type="dxa"/>
          </w:tcPr>
          <w:p w14:paraId="5F057B0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Интерфейс с БпЛА-носителем</w:t>
            </w:r>
          </w:p>
        </w:tc>
        <w:tc>
          <w:tcPr>
            <w:tcW w:w="4253" w:type="dxa"/>
          </w:tcPr>
          <w:p w14:paraId="4C24DE7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MAVLink v2 (UART), вспомогательные: SPI, I2C, GPIO</w:t>
            </w:r>
          </w:p>
        </w:tc>
      </w:tr>
    </w:tbl>
    <w:p w14:paraId="770D7787">
      <w:pPr>
        <w:spacing w:after="120"/>
        <w:jc w:val="left"/>
      </w:pPr>
    </w:p>
    <w:p w14:paraId="7DBD6F5B">
      <w:pPr>
        <w:spacing w:after="120"/>
        <w:jc w:val="left"/>
      </w:pPr>
      <w:r>
        <w:rPr>
          <w:rFonts w:ascii="Times New Roman" w:hAnsi="Times New Roman"/>
          <w:b/>
          <w:sz w:val="22"/>
        </w:rPr>
        <w:t>Приложение №3 к ТЗ на выполнение ОР «Звездочёт-Серафим»</w:t>
      </w:r>
    </w:p>
    <w:p w14:paraId="1F85346C">
      <w:pPr>
        <w:spacing w:after="160"/>
        <w:jc w:val="left"/>
      </w:pPr>
      <w:r>
        <w:rPr>
          <w:rFonts w:ascii="Times New Roman" w:hAnsi="Times New Roman"/>
          <w:b/>
          <w:sz w:val="22"/>
        </w:rPr>
        <w:t>Требования к стоимости компонентов ДО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5034"/>
        <w:gridCol w:w="2880"/>
      </w:tblGrid>
      <w:tr w14:paraId="56330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21BA25AA">
            <w:pPr>
              <w:spacing w:after="0" w:line="240" w:lineRule="auto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5034" w:type="dxa"/>
          </w:tcPr>
          <w:p w14:paraId="205FD02E">
            <w:pPr>
              <w:spacing w:after="0" w:line="240" w:lineRule="auto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w="2880" w:type="dxa"/>
          </w:tcPr>
          <w:p w14:paraId="3E5BC7BC">
            <w:pPr>
              <w:spacing w:after="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 w14:paraId="0434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57F8EEA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5034" w:type="dxa"/>
          </w:tcPr>
          <w:p w14:paraId="08D0668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Максимальная стоимость бортового вычислителя Модуля при мелкосерийном производстве (100 шт.), тыс. руб. за 1 комплект</w:t>
            </w:r>
          </w:p>
        </w:tc>
        <w:tc>
          <w:tcPr>
            <w:tcW w:w="2880" w:type="dxa"/>
          </w:tcPr>
          <w:p w14:paraId="54DD178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</w:tr>
      <w:tr w14:paraId="2CA3D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5AF55AF0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5034" w:type="dxa"/>
          </w:tcPr>
          <w:p w14:paraId="670B739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Максимальная стоимость наземной станции управления при мелкосерийном производстве (100 шт.), тыс. руб. за 1 комплект</w:t>
            </w:r>
          </w:p>
        </w:tc>
        <w:tc>
          <w:tcPr>
            <w:tcW w:w="2880" w:type="dxa"/>
          </w:tcPr>
          <w:p w14:paraId="2D7951E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280</w:t>
            </w:r>
          </w:p>
        </w:tc>
      </w:tr>
      <w:tr w14:paraId="2C6A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4A0DF41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5034" w:type="dxa"/>
          </w:tcPr>
          <w:p w14:paraId="0CE131B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Максимальная стоимость бортового вычислителя ретранслятора при мелкосерийном производстве (100 шт.), тыс. руб. за 1 комплект</w:t>
            </w:r>
          </w:p>
        </w:tc>
        <w:tc>
          <w:tcPr>
            <w:tcW w:w="2880" w:type="dxa"/>
          </w:tcPr>
          <w:p w14:paraId="1E4A152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</w:tr>
    </w:tbl>
    <w:p w14:paraId="6310C413">
      <w:pPr>
        <w:spacing w:after="120"/>
        <w:jc w:val="left"/>
      </w:pPr>
    </w:p>
    <w:p w14:paraId="5F08EE93">
      <w:pPr>
        <w:spacing w:after="160"/>
        <w:jc w:val="left"/>
      </w:pPr>
      <w:r>
        <w:rPr>
          <w:rFonts w:ascii="Times New Roman" w:hAnsi="Times New Roman"/>
          <w:b/>
          <w:sz w:val="24"/>
        </w:rPr>
        <w:t>5. Сроки выполнения работ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2577"/>
        <w:gridCol w:w="1728"/>
        <w:gridCol w:w="1728"/>
        <w:gridCol w:w="1728"/>
      </w:tblGrid>
      <w:tr w14:paraId="0D18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2E0DFB66">
            <w:pPr>
              <w:spacing w:after="0" w:line="240" w:lineRule="auto"/>
            </w:pPr>
            <w:r>
              <w:rPr>
                <w:b/>
                <w:sz w:val="18"/>
              </w:rPr>
              <w:t>№ п/п</w:t>
            </w:r>
          </w:p>
        </w:tc>
        <w:tc>
          <w:tcPr>
            <w:tcW w:w="2577" w:type="dxa"/>
          </w:tcPr>
          <w:p w14:paraId="3E3FBECF">
            <w:pPr>
              <w:spacing w:after="0" w:line="240" w:lineRule="auto"/>
            </w:pPr>
            <w:r>
              <w:rPr>
                <w:b/>
                <w:sz w:val="18"/>
              </w:rPr>
              <w:t>Содержание работ</w:t>
            </w:r>
          </w:p>
        </w:tc>
        <w:tc>
          <w:tcPr>
            <w:tcW w:w="1728" w:type="dxa"/>
          </w:tcPr>
          <w:p w14:paraId="5B124B89">
            <w:pPr>
              <w:spacing w:after="0" w:line="240" w:lineRule="auto"/>
            </w:pPr>
            <w:r>
              <w:rPr>
                <w:b/>
                <w:sz w:val="18"/>
              </w:rPr>
              <w:t>Выдаваемые результаты</w:t>
            </w:r>
          </w:p>
        </w:tc>
        <w:tc>
          <w:tcPr>
            <w:tcW w:w="1728" w:type="dxa"/>
          </w:tcPr>
          <w:p w14:paraId="74270BF0">
            <w:pPr>
              <w:spacing w:after="0" w:line="240" w:lineRule="auto"/>
            </w:pPr>
            <w:r>
              <w:rPr>
                <w:b/>
                <w:sz w:val="18"/>
              </w:rPr>
              <w:t>Сроки выполнения</w:t>
            </w:r>
          </w:p>
        </w:tc>
        <w:tc>
          <w:tcPr>
            <w:tcW w:w="1728" w:type="dxa"/>
          </w:tcPr>
          <w:p w14:paraId="1A0A5985">
            <w:pPr>
              <w:spacing w:after="0" w:line="240" w:lineRule="auto"/>
            </w:pPr>
          </w:p>
        </w:tc>
      </w:tr>
      <w:tr w14:paraId="0282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5D83E5FA">
            <w:pPr>
              <w:spacing w:after="0" w:line="240" w:lineRule="auto"/>
            </w:pPr>
          </w:p>
        </w:tc>
        <w:tc>
          <w:tcPr>
            <w:tcW w:w="2577" w:type="dxa"/>
          </w:tcPr>
          <w:p w14:paraId="1F1170DD">
            <w:pPr>
              <w:spacing w:after="0" w:line="240" w:lineRule="auto"/>
            </w:pPr>
          </w:p>
        </w:tc>
        <w:tc>
          <w:tcPr>
            <w:tcW w:w="1728" w:type="dxa"/>
          </w:tcPr>
          <w:p w14:paraId="0B6359CB">
            <w:pPr>
              <w:spacing w:after="0" w:line="240" w:lineRule="auto"/>
            </w:pPr>
          </w:p>
        </w:tc>
        <w:tc>
          <w:tcPr>
            <w:tcW w:w="1728" w:type="dxa"/>
          </w:tcPr>
          <w:p w14:paraId="42B818C9">
            <w:pPr>
              <w:spacing w:after="0" w:line="240" w:lineRule="auto"/>
            </w:pPr>
            <w:r>
              <w:rPr>
                <w:b/>
                <w:sz w:val="18"/>
              </w:rPr>
              <w:t>начало</w:t>
            </w:r>
          </w:p>
        </w:tc>
        <w:tc>
          <w:tcPr>
            <w:tcW w:w="1728" w:type="dxa"/>
          </w:tcPr>
          <w:p w14:paraId="28C0D7B0">
            <w:pPr>
              <w:spacing w:after="0" w:line="240" w:lineRule="auto"/>
            </w:pPr>
            <w:r>
              <w:rPr>
                <w:b/>
                <w:sz w:val="18"/>
              </w:rPr>
              <w:t>окончание</w:t>
            </w:r>
          </w:p>
        </w:tc>
      </w:tr>
      <w:tr w14:paraId="3C46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3DB817E9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577" w:type="dxa"/>
          </w:tcPr>
          <w:p w14:paraId="273E4A71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Разработка проектной КД</w:t>
            </w:r>
          </w:p>
        </w:tc>
        <w:tc>
          <w:tcPr>
            <w:tcW w:w="1728" w:type="dxa"/>
          </w:tcPr>
          <w:p w14:paraId="7880576A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Согласованная проектная КД</w:t>
            </w:r>
          </w:p>
        </w:tc>
        <w:tc>
          <w:tcPr>
            <w:tcW w:w="1728" w:type="dxa"/>
          </w:tcPr>
          <w:p w14:paraId="664BC83C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</w:t>
            </w:r>
          </w:p>
        </w:tc>
        <w:tc>
          <w:tcPr>
            <w:tcW w:w="1728" w:type="dxa"/>
          </w:tcPr>
          <w:p w14:paraId="5CE0997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+ 2 мес.</w:t>
            </w:r>
          </w:p>
        </w:tc>
      </w:tr>
      <w:tr w14:paraId="3E3C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613507BF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577" w:type="dxa"/>
          </w:tcPr>
          <w:p w14:paraId="6E180CA6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Разработка эскизной КД, ПД и изготовление ДО для испытаний</w:t>
            </w:r>
          </w:p>
        </w:tc>
        <w:tc>
          <w:tcPr>
            <w:tcW w:w="1728" w:type="dxa"/>
          </w:tcPr>
          <w:p w14:paraId="0D8A60B7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1. Эскизная КД, включающая согласованную ПМИ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2. ПД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3. Согласованный акт готовности ДО к испытаниям</w:t>
            </w:r>
          </w:p>
        </w:tc>
        <w:tc>
          <w:tcPr>
            <w:tcW w:w="1728" w:type="dxa"/>
          </w:tcPr>
          <w:p w14:paraId="2A27B957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+ 2 мес.</w:t>
            </w:r>
          </w:p>
        </w:tc>
        <w:tc>
          <w:tcPr>
            <w:tcW w:w="1728" w:type="dxa"/>
          </w:tcPr>
          <w:p w14:paraId="35800C51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+ 6 мес.</w:t>
            </w:r>
          </w:p>
        </w:tc>
      </w:tr>
      <w:tr w14:paraId="0B32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4797462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577" w:type="dxa"/>
          </w:tcPr>
          <w:p w14:paraId="0CF92D56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Испытания ДО</w:t>
            </w:r>
          </w:p>
        </w:tc>
        <w:tc>
          <w:tcPr>
            <w:tcW w:w="1728" w:type="dxa"/>
          </w:tcPr>
          <w:p w14:paraId="4B15C59B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Согласованные акт и протокол (протоколы) испытаний ДО</w:t>
            </w:r>
          </w:p>
        </w:tc>
        <w:tc>
          <w:tcPr>
            <w:tcW w:w="1728" w:type="dxa"/>
          </w:tcPr>
          <w:p w14:paraId="152777E2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+ 6 мес.</w:t>
            </w:r>
          </w:p>
        </w:tc>
        <w:tc>
          <w:tcPr>
            <w:tcW w:w="1728" w:type="dxa"/>
          </w:tcPr>
          <w:p w14:paraId="7D854F56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+ 9 мес.</w:t>
            </w:r>
          </w:p>
        </w:tc>
      </w:tr>
      <w:tr w14:paraId="1C7B7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50E6DE0C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577" w:type="dxa"/>
          </w:tcPr>
          <w:p w14:paraId="43A8A9C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Изготовление ДО для апробации и подготовка к апробации</w:t>
            </w:r>
          </w:p>
        </w:tc>
        <w:tc>
          <w:tcPr>
            <w:tcW w:w="1728" w:type="dxa"/>
          </w:tcPr>
          <w:p w14:paraId="1E19A6B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1. Рабочая КД, доработанная по результатам испытаний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2. ПД, доработанная по результатам испытаний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3. Согласованная ПМА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4. Согласованный акт готовности ДО к апробации</w:t>
            </w:r>
          </w:p>
        </w:tc>
        <w:tc>
          <w:tcPr>
            <w:tcW w:w="1728" w:type="dxa"/>
          </w:tcPr>
          <w:p w14:paraId="013EF81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+ 9 мес.</w:t>
            </w:r>
          </w:p>
        </w:tc>
        <w:tc>
          <w:tcPr>
            <w:tcW w:w="1728" w:type="dxa"/>
          </w:tcPr>
          <w:p w14:paraId="439FC3CF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+ 11 мес.</w:t>
            </w:r>
          </w:p>
        </w:tc>
      </w:tr>
      <w:tr w14:paraId="63F3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0407095C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2577" w:type="dxa"/>
          </w:tcPr>
          <w:p w14:paraId="17288B36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Апробация ДО и передача ДО Заказчику</w:t>
            </w:r>
          </w:p>
        </w:tc>
        <w:tc>
          <w:tcPr>
            <w:tcW w:w="1728" w:type="dxa"/>
          </w:tcPr>
          <w:p w14:paraId="2A3E043C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1. Согласованный протокол (протоколы) апробации ДО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2. Утвержденный акт научно-технической приемки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3. Акт приема-передачи ДО</w:t>
            </w:r>
          </w:p>
        </w:tc>
        <w:tc>
          <w:tcPr>
            <w:tcW w:w="1728" w:type="dxa"/>
          </w:tcPr>
          <w:p w14:paraId="1704913F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+ 11 мес.</w:t>
            </w:r>
          </w:p>
        </w:tc>
        <w:tc>
          <w:tcPr>
            <w:tcW w:w="1728" w:type="dxa"/>
          </w:tcPr>
          <w:p w14:paraId="07756A6E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T0 + 12 мес.</w:t>
            </w:r>
          </w:p>
        </w:tc>
      </w:tr>
    </w:tbl>
    <w:p w14:paraId="53F951C9">
      <w:pPr>
        <w:spacing w:after="120"/>
        <w:jc w:val="left"/>
      </w:pPr>
    </w:p>
    <w:p w14:paraId="07299DCA">
      <w:pPr>
        <w:spacing w:after="160"/>
        <w:jc w:val="left"/>
      </w:pPr>
      <w:r>
        <w:rPr>
          <w:rFonts w:ascii="Times New Roman" w:hAnsi="Times New Roman"/>
          <w:b/>
          <w:sz w:val="24"/>
        </w:rPr>
        <w:t>6. Требования к отчётной документации</w:t>
      </w:r>
    </w:p>
    <w:p w14:paraId="4923F58D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Исполнитель ОР должен разработать следующую отчётную техническую документацию:</w:t>
      </w:r>
    </w:p>
    <w:p w14:paraId="07756F09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проектная конструкторская документация (проектная КД);</w:t>
      </w:r>
    </w:p>
    <w:p w14:paraId="6438D395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эскизная конструкторская документация (рабочая КД);</w:t>
      </w:r>
    </w:p>
    <w:p w14:paraId="02DAF81C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программная документация (ПД);</w:t>
      </w:r>
    </w:p>
    <w:p w14:paraId="5C8C8A77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акт готовности ДО к испытаниям;</w:t>
      </w:r>
    </w:p>
    <w:p w14:paraId="39A14421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протокол (протоколы) испытаний ДО;</w:t>
      </w:r>
    </w:p>
    <w:p w14:paraId="6C5E1BBE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акт испытаний ДО;</w:t>
      </w:r>
    </w:p>
    <w:p w14:paraId="397A5A3D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программа и методика апробации (ПМА);</w:t>
      </w:r>
    </w:p>
    <w:p w14:paraId="4BAF19F5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акт готовности ДО к апробации;</w:t>
      </w:r>
    </w:p>
    <w:p w14:paraId="5F8F0FA3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протокол (протоколы) апробации ДО;</w:t>
      </w:r>
    </w:p>
    <w:p w14:paraId="7742C90D">
      <w:pPr>
        <w:spacing w:after="20"/>
        <w:jc w:val="left"/>
      </w:pPr>
      <w:r>
        <w:rPr>
          <w:rFonts w:ascii="Times New Roman" w:hAnsi="Times New Roman"/>
          <w:b w:val="0"/>
          <w:sz w:val="20"/>
        </w:rPr>
        <w:t>− акт научно-технической приемки результатов ОР.</w:t>
      </w:r>
    </w:p>
    <w:p w14:paraId="318C4FBD">
      <w:pPr>
        <w:spacing w:after="120"/>
        <w:jc w:val="left"/>
      </w:pPr>
    </w:p>
    <w:p w14:paraId="44B8CD98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Проектная КД должна содержать: чертежи общего вида бортового вычислителя, наземной станции, ретранслятора; габаритные чертежи; пояснительную записку; ведомость покупных изделий.</w:t>
      </w:r>
    </w:p>
    <w:p w14:paraId="29524C0E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Пояснительная записка проектной КД должна включать: описание предлагаемой конструкции, математических методов, алгоритмов, допущений и ограничений, порядка применения Модуля.</w:t>
      </w:r>
    </w:p>
    <w:p w14:paraId="4AAC7BDE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Программная документация должна содержать: текст программы, описание программы, описание применения, руководство системного программиста, руководство программиста, пояснительную записку.</w:t>
      </w:r>
    </w:p>
    <w:p w14:paraId="6A649F6C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Текст программы должен передаваться Заказчику на электронном носителе в форме виртуальной машины VirtualBox с настроенным программным окружением для сборки из исходных текстов.</w:t>
      </w:r>
    </w:p>
    <w:p w14:paraId="0FE99765">
      <w:pPr>
        <w:spacing w:after="240"/>
        <w:jc w:val="left"/>
      </w:pPr>
      <w:r>
        <w:rPr>
          <w:rFonts w:ascii="Times New Roman" w:hAnsi="Times New Roman"/>
          <w:b w:val="0"/>
          <w:sz w:val="20"/>
        </w:rPr>
        <w:t>Все документы передаются в бумажной форме (1 экз.) и на электронном носителе (форматы Microsoft Word и Adobe Acrobat).</w:t>
      </w:r>
    </w:p>
    <w:p w14:paraId="0E815BB8">
      <w:pPr>
        <w:spacing w:after="160"/>
        <w:jc w:val="left"/>
      </w:pPr>
      <w:r>
        <w:rPr>
          <w:rFonts w:ascii="Times New Roman" w:hAnsi="Times New Roman"/>
          <w:b/>
          <w:sz w:val="24"/>
        </w:rPr>
        <w:t>7. Оценка рисков</w:t>
      </w:r>
    </w:p>
    <w:p w14:paraId="1C55E3DB"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Риски выполнения ОР оцениваются как минимальные (близкие к нулю) по следующим основаниям:</w:t>
      </w:r>
    </w:p>
    <w:p w14:paraId="7ECF1330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Бортовая LLM Serafim V2 Q8 — реализована, протестирована, показала 5 из 5 правильных тактических решений. Не требует дообучения.</w:t>
      </w:r>
    </w:p>
    <w:p w14:paraId="7C0E85CA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Наземный ИИ Thinker + Coder — реализован, протестирован на CPU (42 с / 38 с) и GPU (6 с / 2 с). Функционирует без интернет-соединения.</w:t>
      </w:r>
    </w:p>
    <w:p w14:paraId="4EB9DF71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YOLO-обнаружение — обучена модель на 14 классов, mAP50 0,995. Готова к инференсу на Rockchip NPU.</w:t>
      </w:r>
    </w:p>
    <w:p w14:paraId="1FB81788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UWB-сетка — алгоритм трилатерации реализован и отлажен в симуляции. Чип DW1000 — стандартное изделие с открытой документацией.</w:t>
      </w:r>
    </w:p>
    <w:p w14:paraId="23132E60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LoRa-протокол — реализован PromptCompressor (×5,3 сжатия) и wavelet-кодек (×8-12). Протестированы на стенде.</w:t>
      </w:r>
    </w:p>
    <w:p w14:paraId="24DCF963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Hardware Abstraction Layer — реализован, автоопределяет 5 типов устройств (Nvidia/Rockchip/Hailo/Intel/CPU).</w:t>
      </w:r>
    </w:p>
    <w:p w14:paraId="4365135A"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Единственная новая работа — интеграция компонентов на реальном железе и лётные испытания. Все компоненты по отдельности уже работают.</w:t>
      </w:r>
    </w:p>
    <w:p w14:paraId="6DB1A1C2">
      <w:pPr>
        <w:spacing w:after="120"/>
        <w:jc w:val="left"/>
      </w:pPr>
    </w:p>
    <w:p w14:paraId="676D8A31">
      <w:pPr>
        <w:spacing w:after="240"/>
        <w:jc w:val="left"/>
      </w:pPr>
      <w:r>
        <w:rPr>
          <w:rFonts w:ascii="Times New Roman" w:hAnsi="Times New Roman"/>
          <w:b w:val="0"/>
          <w:sz w:val="20"/>
        </w:rPr>
        <w:t>Научно-технический задел исполнителя включает готовые и протестированные программные компоненты, перечисленные выше. Ни одного научного или технологического риска, требующего дополнительных исследований, не выявлено.</w:t>
      </w:r>
    </w:p>
    <w:p w14:paraId="60754B4C">
      <w:pPr>
        <w:spacing w:after="480"/>
        <w:jc w:val="left"/>
      </w:pPr>
      <w:r>
        <w:rPr>
          <w:rFonts w:ascii="Times New Roman" w:hAnsi="Times New Roman"/>
          <w:b w:val="0"/>
          <w:sz w:val="22"/>
        </w:rPr>
        <w:t>От Исполнителя:</w:t>
      </w:r>
    </w:p>
    <w:p w14:paraId="7E18787F"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______________</w:t>
      </w:r>
    </w:p>
    <w:p w14:paraId="23396288">
      <w:pPr>
        <w:spacing w:after="480"/>
        <w:jc w:val="left"/>
      </w:pPr>
      <w:r>
        <w:rPr>
          <w:rFonts w:ascii="Times New Roman" w:hAnsi="Times New Roman"/>
          <w:b w:val="0"/>
          <w:sz w:val="22"/>
        </w:rPr>
        <w:t>«___» _________ 2026 г.</w:t>
      </w:r>
    </w:p>
    <w:p w14:paraId="304B014A"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От Заказчика:</w:t>
      </w:r>
    </w:p>
    <w:p w14:paraId="185709C7">
      <w:pPr>
        <w:spacing w:after="480"/>
        <w:jc w:val="left"/>
      </w:pPr>
      <w:r>
        <w:rPr>
          <w:rFonts w:ascii="Times New Roman" w:hAnsi="Times New Roman"/>
          <w:b w:val="0"/>
          <w:sz w:val="20"/>
        </w:rPr>
        <w:t>Куратор работы</w:t>
      </w:r>
    </w:p>
    <w:p w14:paraId="2CC01A78"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____________ А.М. Куликов</w:t>
      </w:r>
    </w:p>
    <w:p w14:paraId="11FD3174"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«___» _________ 2026 г.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6A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2072</Words>
  <Characters>13310</Characters>
  <Lines>0</Lines>
  <Paragraphs>0</Paragraphs>
  <TotalTime>1</TotalTime>
  <ScaleCrop>false</ScaleCrop>
  <LinksUpToDate>false</LinksUpToDate>
  <CharactersWithSpaces>15099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unide</cp:lastModifiedBy>
  <dcterms:modified xsi:type="dcterms:W3CDTF">2026-05-23T19:49:11Z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eyJoZGlkIjoiNTJjNmQxNTlmNmE4OWZiYzQ2NjU0MzZhY2U0ZjczZDYifQ==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E5756AB0100F4B1EAEE5A6C5FB3EC6F2_12</vt:lpwstr>
  </property>
</Properties>
</file>