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8CA80">
      <w:pPr>
        <w:jc w:val="center"/>
      </w:pPr>
      <w:r>
        <w:rPr>
          <w:color w:val="595959"/>
          <w:sz w:val="22"/>
        </w:rPr>
        <w:t>КОНЦЕПТУАЛЬНАЯ ЗАПИСКА</w:t>
      </w:r>
    </w:p>
    <w:p w14:paraId="7E23A432">
      <w:pPr>
        <w:jc w:val="center"/>
      </w:pPr>
      <w:r>
        <w:rPr>
          <w:color w:val="595959"/>
          <w:sz w:val="20"/>
        </w:rPr>
        <w:t xml:space="preserve"> Архипелаг Автономность 2026 · 24 июня 2026 г.</w:t>
      </w:r>
    </w:p>
    <w:p w14:paraId="4B08E804"/>
    <w:p w14:paraId="13BB136E">
      <w:pPr>
        <w:jc w:val="center"/>
      </w:pPr>
      <w:r>
        <w:rPr>
          <w:b/>
          <w:color w:val="212121"/>
          <w:sz w:val="44"/>
        </w:rPr>
        <w:t>Лаборатория «Модель отрасли БАС»</w:t>
      </w:r>
    </w:p>
    <w:p w14:paraId="67E40E10">
      <w:pPr>
        <w:jc w:val="center"/>
      </w:pPr>
      <w:r>
        <w:rPr>
          <w:color w:val="595959"/>
          <w:sz w:val="26"/>
        </w:rPr>
        <w:t>Методика исследования отрасли беспилотных авиационных систем</w:t>
      </w:r>
      <w:r>
        <w:rPr>
          <w:color w:val="595959"/>
          <w:sz w:val="26"/>
        </w:rPr>
        <w:br w:type="textWrapping"/>
      </w:r>
      <w:r>
        <w:rPr>
          <w:color w:val="595959"/>
          <w:sz w:val="26"/>
        </w:rPr>
        <w:t>в условиях неполных данных</w:t>
      </w:r>
    </w:p>
    <w:p w14:paraId="38815A60">
      <w:pPr>
        <w:pBdr>
          <w:bottom w:val="single" w:color="BDBDBD" w:sz="6" w:space="1"/>
        </w:pBdr>
        <w:spacing w:before="80" w:after="80"/>
      </w:pPr>
    </w:p>
    <w:p w14:paraId="0FBAC12B">
      <w:pPr>
        <w:pStyle w:val="2"/>
      </w:pPr>
      <w:r>
        <w:rPr>
          <w:b/>
          <w:color w:val="212121"/>
          <w:sz w:val="32"/>
        </w:rPr>
        <w:t>1. Назначение лаборатории</w:t>
      </w:r>
    </w:p>
    <w:p w14:paraId="3DA239CF">
      <w:pPr>
        <w:spacing w:before="0" w:after="60"/>
      </w:pPr>
      <w:r>
        <w:rPr>
          <w:b w:val="0"/>
          <w:sz w:val="22"/>
        </w:rPr>
        <w:t>Лаборатория «Модель отрасли БАС» создана в рамках трека «Архипелаг Автономность 2026» как сквозная исследовательская структура, обеспечивающая аналитической базой остальные четыре лаборатории блока НЭКИ (Природная экономика, Климатическая устойчивость, Здоровая среда, Пищевая автономия).</w:t>
      </w:r>
    </w:p>
    <w:p w14:paraId="148C9387">
      <w:pPr>
        <w:spacing w:before="0" w:after="60"/>
      </w:pPr>
      <w:r>
        <w:rPr>
          <w:b w:val="0"/>
          <w:sz w:val="22"/>
        </w:rPr>
        <w:t>Продукт лаборатории — не рекомендации и не прогнозы. Это исполняемые утверждения об отрасли: каждый тезис сопровождается программным тестом, который можно запустить, проверить и оспорить.</w:t>
      </w:r>
    </w:p>
    <w:p w14:paraId="0480AA7B"/>
    <w:p w14:paraId="78682CF1">
      <w:pPr>
        <w:ind w:left="567" w:right="567"/>
      </w:pPr>
      <w:r>
        <w:rPr>
          <w:i/>
          <w:color w:val="595959"/>
          <w:sz w:val="22"/>
        </w:rPr>
        <w:t>«При расстоянии до ближайшего медицинского центра более 70 км стоимость одного медицинского визита дроном ниже стоимости выезда специалиста уже при 5% проникновении БАС в районе» — это не мнение. Это утверждение, проверяемое как автоматический тест на 2 000 сценариев.</w:t>
      </w:r>
    </w:p>
    <w:p w14:paraId="3DADDF66">
      <w:pPr>
        <w:pBdr>
          <w:bottom w:val="single" w:color="BDBDBD" w:sz="6" w:space="1"/>
        </w:pBdr>
        <w:spacing w:before="80" w:after="80"/>
      </w:pPr>
    </w:p>
    <w:p w14:paraId="150C04B9">
      <w:pPr>
        <w:pStyle w:val="2"/>
      </w:pPr>
      <w:r>
        <w:rPr>
          <w:b/>
          <w:color w:val="212121"/>
          <w:sz w:val="32"/>
        </w:rPr>
        <w:t>2. Главный вопрос</w:t>
      </w:r>
    </w:p>
    <w:p w14:paraId="25C00722">
      <w:pPr>
        <w:spacing w:before="0" w:after="60"/>
      </w:pPr>
      <w:r>
        <w:rPr>
          <w:b/>
          <w:sz w:val="22"/>
        </w:rPr>
        <w:t>При каком уровне БАС-проникновения удалённое поселение становится экономически устойчивым без городской инфраструктуры?</w:t>
      </w:r>
    </w:p>
    <w:p w14:paraId="2038C677">
      <w:pPr>
        <w:spacing w:before="0" w:after="60"/>
      </w:pPr>
      <w:r>
        <w:rPr>
          <w:b w:val="0"/>
          <w:sz w:val="22"/>
        </w:rPr>
        <w:t>Это не один вопрос — это структура из четырёх: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5"/>
        <w:gridCol w:w="3118"/>
      </w:tblGrid>
      <w:tr w14:paraId="60A7B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2F2F2"/>
          </w:tcPr>
          <w:p w14:paraId="6E73980A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Вопрос</w:t>
            </w:r>
          </w:p>
        </w:tc>
        <w:tc>
          <w:tcPr>
            <w:tcW w:w="2835" w:type="dxa"/>
            <w:shd w:val="clear" w:color="auto" w:fill="F2F2F2"/>
          </w:tcPr>
          <w:p w14:paraId="19D75BDA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Тип ответа</w:t>
            </w:r>
          </w:p>
        </w:tc>
        <w:tc>
          <w:tcPr>
            <w:tcW w:w="3118" w:type="dxa"/>
            <w:shd w:val="clear" w:color="auto" w:fill="F2F2F2"/>
          </w:tcPr>
          <w:p w14:paraId="4A6FBF06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Инструмент модели</w:t>
            </w:r>
          </w:p>
        </w:tc>
      </w:tr>
      <w:tr w14:paraId="0131C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39596391">
            <w:pPr>
              <w:spacing w:after="0" w:line="240" w:lineRule="auto"/>
            </w:pPr>
            <w:r>
              <w:rPr>
                <w:sz w:val="20"/>
              </w:rPr>
              <w:t>Где внедрять в первую очередь?</w:t>
            </w:r>
          </w:p>
        </w:tc>
        <w:tc>
          <w:tcPr>
            <w:tcW w:w="2835" w:type="dxa"/>
          </w:tcPr>
          <w:p w14:paraId="00689657">
            <w:pPr>
              <w:spacing w:after="0" w:line="240" w:lineRule="auto"/>
            </w:pPr>
            <w:r>
              <w:rPr>
                <w:sz w:val="20"/>
              </w:rPr>
              <w:t>Территориальная карта приоритетов</w:t>
            </w:r>
          </w:p>
        </w:tc>
        <w:tc>
          <w:tcPr>
            <w:tcW w:w="3118" w:type="dxa"/>
          </w:tcPr>
          <w:p w14:paraId="29913A93">
            <w:pPr>
              <w:spacing w:after="0" w:line="240" w:lineRule="auto"/>
            </w:pPr>
            <w:r>
              <w:rPr>
                <w:sz w:val="20"/>
              </w:rPr>
              <w:t>place_hubs + данные Росстат</w:t>
            </w:r>
          </w:p>
        </w:tc>
      </w:tr>
      <w:tr w14:paraId="311CF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FF47B01">
            <w:pPr>
              <w:spacing w:after="0" w:line="240" w:lineRule="auto"/>
            </w:pPr>
            <w:r>
              <w:rPr>
                <w:sz w:val="20"/>
              </w:rPr>
              <w:t>Когда наступит переход?</w:t>
            </w:r>
          </w:p>
        </w:tc>
        <w:tc>
          <w:tcPr>
            <w:tcW w:w="2835" w:type="dxa"/>
          </w:tcPr>
          <w:p w14:paraId="6E9313D1">
            <w:pPr>
              <w:spacing w:after="0" w:line="240" w:lineRule="auto"/>
            </w:pPr>
            <w:r>
              <w:rPr>
                <w:sz w:val="20"/>
              </w:rPr>
              <w:t>Кривая перехода по годам</w:t>
            </w:r>
          </w:p>
        </w:tc>
        <w:tc>
          <w:tcPr>
            <w:tcW w:w="3118" w:type="dxa"/>
          </w:tcPr>
          <w:p w14:paraId="0A9C3CA1">
            <w:pPr>
              <w:spacing w:after="0" w:line="240" w:lineRule="auto"/>
            </w:pPr>
            <w:r>
              <w:rPr>
                <w:sz w:val="20"/>
              </w:rPr>
              <w:t>simulate_transition</w:t>
            </w:r>
          </w:p>
        </w:tc>
      </w:tr>
      <w:tr w14:paraId="5886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5975CCD">
            <w:pPr>
              <w:spacing w:after="0" w:line="240" w:lineRule="auto"/>
            </w:pPr>
            <w:r>
              <w:rPr>
                <w:sz w:val="20"/>
              </w:rPr>
              <w:t>Сколько дронов нужно?</w:t>
            </w:r>
          </w:p>
        </w:tc>
        <w:tc>
          <w:tcPr>
            <w:tcW w:w="2835" w:type="dxa"/>
          </w:tcPr>
          <w:p w14:paraId="62AD83B5">
            <w:pPr>
              <w:spacing w:after="0" w:line="240" w:lineRule="auto"/>
            </w:pPr>
            <w:r>
              <w:rPr>
                <w:sz w:val="20"/>
              </w:rPr>
              <w:t>Минимальный жизнеспособный флот</w:t>
            </w:r>
          </w:p>
        </w:tc>
        <w:tc>
          <w:tcPr>
            <w:tcW w:w="3118" w:type="dxa"/>
          </w:tcPr>
          <w:p w14:paraId="1EFECD30">
            <w:pPr>
              <w:spacing w:after="0" w:line="240" w:lineRule="auto"/>
            </w:pPr>
            <w:r>
              <w:rPr>
                <w:sz w:val="20"/>
              </w:rPr>
              <w:t>find_tipping_point</w:t>
            </w:r>
          </w:p>
        </w:tc>
      </w:tr>
      <w:tr w14:paraId="6C881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379F918F">
            <w:pPr>
              <w:spacing w:after="0" w:line="240" w:lineRule="auto"/>
            </w:pPr>
            <w:r>
              <w:rPr>
                <w:sz w:val="20"/>
              </w:rPr>
              <w:t>При какой регуляторике?</w:t>
            </w:r>
          </w:p>
        </w:tc>
        <w:tc>
          <w:tcPr>
            <w:tcW w:w="2835" w:type="dxa"/>
          </w:tcPr>
          <w:p w14:paraId="38C3CF49">
            <w:pPr>
              <w:spacing w:after="0" w:line="240" w:lineRule="auto"/>
            </w:pPr>
            <w:r>
              <w:rPr>
                <w:sz w:val="20"/>
              </w:rPr>
              <w:t>Сравнение 3 сценариев политики</w:t>
            </w:r>
          </w:p>
        </w:tc>
        <w:tc>
          <w:tcPr>
            <w:tcW w:w="3118" w:type="dxa"/>
          </w:tcPr>
          <w:p w14:paraId="57C65843">
            <w:pPr>
              <w:spacing w:after="0" w:line="240" w:lineRule="auto"/>
            </w:pPr>
            <w:r>
              <w:rPr>
                <w:sz w:val="20"/>
              </w:rPr>
              <w:t>compare_scenarios</w:t>
            </w:r>
          </w:p>
        </w:tc>
      </w:tr>
    </w:tbl>
    <w:p w14:paraId="289C40DF">
      <w:pPr>
        <w:pBdr>
          <w:bottom w:val="single" w:color="BDBDBD" w:sz="6" w:space="1"/>
        </w:pBdr>
        <w:spacing w:before="80" w:after="80"/>
      </w:pPr>
    </w:p>
    <w:p w14:paraId="584A78F8">
      <w:pPr>
        <w:pStyle w:val="2"/>
      </w:pPr>
      <w:r>
        <w:rPr>
          <w:b/>
          <w:color w:val="212121"/>
          <w:sz w:val="32"/>
        </w:rPr>
        <w:t>3. Концептуальная модель: три аттрактора</w:t>
      </w:r>
    </w:p>
    <w:p w14:paraId="5E6F8F4D">
      <w:pPr>
        <w:spacing w:before="0" w:after="60"/>
      </w:pPr>
      <w:r>
        <w:rPr>
          <w:b w:val="0"/>
          <w:sz w:val="22"/>
        </w:rPr>
        <w:t>Система «поселение + сервисы + специалисты» имеет два устойчивых состояния и одно неустойчивое — переходную зону. Это не метафора: модель реализует систему нелинейных дифференциальных уравнений (метод Форрестера).</w:t>
      </w:r>
    </w:p>
    <w:p w14:paraId="29C6629F">
      <w:pPr>
        <w:pStyle w:val="3"/>
      </w:pPr>
      <w:r>
        <w:rPr>
          <w:b/>
          <w:color w:val="C00000"/>
          <w:sz w:val="26"/>
        </w:rPr>
        <w:t>Аттрактор A — традиционная зависимость</w:t>
      </w:r>
    </w:p>
    <w:p w14:paraId="107EF84E">
      <w:pPr>
        <w:spacing w:before="0" w:after="60"/>
      </w:pPr>
      <w:r>
        <w:rPr>
          <w:b w:val="0"/>
          <w:sz w:val="22"/>
        </w:rPr>
        <w:t>Специалисты живут в поселении → нужна инфраструктура их жизни → высокие издержки → маргинальные поселения умирают → меньше поселений → хуже масштаб → снова высокие издержки. Самоусиливающаяся деградация.</w:t>
      </w:r>
    </w:p>
    <w:p w14:paraId="6B51CE8A">
      <w:pPr>
        <w:pStyle w:val="3"/>
      </w:pPr>
      <w:r>
        <w:rPr>
          <w:b/>
          <w:color w:val="ED7D31"/>
          <w:sz w:val="26"/>
        </w:rPr>
        <w:t>Переходная зона — 30–60% БАС</w:t>
      </w:r>
    </w:p>
    <w:p w14:paraId="6CCBD023">
      <w:pPr>
        <w:spacing w:before="0" w:after="60"/>
      </w:pPr>
      <w:r>
        <w:rPr>
          <w:b w:val="0"/>
          <w:sz w:val="22"/>
        </w:rPr>
        <w:t>Неустойчивое состояние. Оба аттрактора притягивают. Малое воздействие (субсидия, пилот, нормативный акт) даёт непропорционально большой эффект. Здесь расположено «окно вмешательства» — годы с максимальным рычагом политики. Теоретическая база: Scheffer et al. (2009), critical slowing down.</w:t>
      </w:r>
    </w:p>
    <w:p w14:paraId="5A3D530A">
      <w:pPr>
        <w:pStyle w:val="3"/>
      </w:pPr>
      <w:r>
        <w:rPr>
          <w:b/>
          <w:color w:val="2E7D32"/>
          <w:sz w:val="26"/>
        </w:rPr>
        <w:t>Аттрактор B — БАС-автономия</w:t>
      </w:r>
    </w:p>
    <w:p w14:paraId="71BCA263">
      <w:pPr>
        <w:spacing w:before="0" w:after="60"/>
      </w:pPr>
      <w:r>
        <w:rPr>
          <w:b w:val="0"/>
          <w:sz w:val="22"/>
        </w:rPr>
        <w:t>Специалисты работают удалённо, дроны покрывают критические сервисы → поселение жизнеспособно без дорог → дешевле → больше поселений → больше спрос на дроны → дешевле дроны. Самоусиливающийся рост.</w:t>
      </w:r>
    </w:p>
    <w:p w14:paraId="57B26E83">
      <w:pPr>
        <w:spacing w:before="0" w:after="60"/>
      </w:pPr>
      <w:r>
        <w:rPr>
          <w:b/>
          <w:sz w:val="22"/>
        </w:rPr>
        <w:t>Ключевое: когда специалист уехал в город — он не вернётся. Это необратимость. Переход к B должен произойти ДО оттока специалистов.</w:t>
      </w:r>
    </w:p>
    <w:p w14:paraId="1D41DB3A">
      <w:pPr>
        <w:pBdr>
          <w:bottom w:val="single" w:color="BDBDBD" w:sz="6" w:space="1"/>
        </w:pBdr>
        <w:spacing w:before="80" w:after="80"/>
      </w:pPr>
    </w:p>
    <w:p w14:paraId="0548DF58">
      <w:pPr>
        <w:pStyle w:val="2"/>
      </w:pPr>
      <w:r>
        <w:rPr>
          <w:b/>
          <w:color w:val="212121"/>
          <w:sz w:val="32"/>
        </w:rPr>
        <w:t>4. Четыре доказанных утверждения</w:t>
      </w:r>
    </w:p>
    <w:p w14:paraId="4AD46690">
      <w:pPr>
        <w:spacing w:before="0" w:after="60"/>
      </w:pPr>
      <w:r>
        <w:rPr>
          <w:b w:val="0"/>
          <w:sz w:val="22"/>
        </w:rPr>
        <w:t>Каждое утверждение — не гипотеза, а проверенный инвариант: автоматический тест прошёл 2 000 случайных сценариев без нарушений.</w:t>
      </w:r>
    </w:p>
    <w:p w14:paraId="64E8676D">
      <w:pPr>
        <w:pStyle w:val="3"/>
      </w:pPr>
      <w:r>
        <w:rPr>
          <w:b/>
          <w:color w:val="4472C4"/>
          <w:sz w:val="26"/>
        </w:rPr>
        <w:t>Утверждение 1: Структурный скачок при 60% (MIT-аналог)</w:t>
      </w:r>
    </w:p>
    <w:p w14:paraId="5066E447">
      <w:pPr>
        <w:spacing w:before="0" w:after="60"/>
      </w:pPr>
      <w:r>
        <w:rPr>
          <w:b w:val="0"/>
          <w:sz w:val="22"/>
        </w:rPr>
        <w:t>При проникновении БАС в 55–65% совокупные сервисные расходы поселения падают нелинейно: за один шаг — 25% и более. Механизм: постоянный фельдшер становится необязательным, его зарплата исчезает из бюджета. Аналог: Spieser et al. (MIT, 2014) — при 60% автономных такси система перестраивается нелинейно.</w:t>
      </w:r>
    </w:p>
    <w:p w14:paraId="77ACBC0B">
      <w:pPr>
        <w:pStyle w:val="3"/>
      </w:pPr>
      <w:r>
        <w:rPr>
          <w:b/>
          <w:color w:val="2E7D32"/>
          <w:sz w:val="26"/>
        </w:rPr>
        <w:t>Утверждение 2: При расстоянии &gt; 70 км — БАС выгоден с первого шага</w:t>
      </w:r>
    </w:p>
    <w:p w14:paraId="59A082DF">
      <w:pPr>
        <w:spacing w:before="0" w:after="60"/>
      </w:pPr>
      <w:r>
        <w:rPr>
          <w:b w:val="0"/>
          <w:sz w:val="22"/>
        </w:rPr>
        <w:t>При расстоянии до города свыше 70 км стоимость одного визита дроном ниже стоимости выезда специалиста уже при 5% БАС-проникновения. Безубыточность наступает немедленно — это не долгосрочная инвестиция, а операционная замена.</w:t>
      </w:r>
    </w:p>
    <w:p w14:paraId="3C5179BB">
      <w:pPr>
        <w:pStyle w:val="3"/>
      </w:pPr>
      <w:r>
        <w:rPr>
          <w:b/>
          <w:color w:val="C00000"/>
          <w:sz w:val="26"/>
        </w:rPr>
        <w:t>Утверждение 3: Ловушка специалиста — катастрофический сценарий</w:t>
      </w:r>
    </w:p>
    <w:p w14:paraId="72647226">
      <w:pPr>
        <w:spacing w:before="0" w:after="60"/>
      </w:pPr>
      <w:r>
        <w:rPr>
          <w:b w:val="0"/>
          <w:sz w:val="22"/>
        </w:rPr>
        <w:t>Если демографический отток специалистов опережает рост БАС-покрытия, поселение падает в аттрактор A необратимо. Критический порог: отток при БАС &lt; 40% → смерть поселения. Вывод: субсидии для удержания специалистов в первые 5–7 лет критичны.</w:t>
      </w:r>
    </w:p>
    <w:p w14:paraId="7B66452F">
      <w:pPr>
        <w:pStyle w:val="3"/>
      </w:pPr>
      <w:r>
        <w:rPr>
          <w:b/>
          <w:color w:val="ED7D31"/>
          <w:sz w:val="26"/>
        </w:rPr>
        <w:t>Утверждение 4: Регуляторная среда — разница в 5–8 лет</w:t>
      </w:r>
    </w:p>
    <w:p w14:paraId="2FD6A839">
      <w:pPr>
        <w:spacing w:before="0" w:after="60"/>
      </w:pPr>
      <w:r>
        <w:rPr>
          <w:b w:val="0"/>
          <w:sz w:val="22"/>
        </w:rPr>
        <w:t>Поддерживающая среда (субсидии, БАС-зоны, госконтракты, reg = 1.5) ускоряет переход к аттрактору B на 5–8 лет по сравнению с враждебной средой (блокировка сертификации, отсутствие субсидий, reg = 0.7). Для поселения это разница между жизнью и смертью.</w:t>
      </w:r>
    </w:p>
    <w:p w14:paraId="510A80D4">
      <w:pPr>
        <w:pBdr>
          <w:bottom w:val="single" w:color="BDBDBD" w:sz="6" w:space="1"/>
        </w:pBdr>
        <w:spacing w:before="80" w:after="80"/>
      </w:pPr>
    </w:p>
    <w:p w14:paraId="7695A3BA">
      <w:pPr>
        <w:pStyle w:val="2"/>
      </w:pPr>
      <w:r>
        <w:rPr>
          <w:b/>
          <w:color w:val="212121"/>
          <w:sz w:val="32"/>
        </w:rPr>
        <w:t>5. Как работает лаборатория: пять шагов</w:t>
      </w:r>
    </w:p>
    <w:p w14:paraId="229F50A7">
      <w:pPr>
        <w:pStyle w:val="3"/>
      </w:pPr>
      <w:r>
        <w:rPr>
          <w:b/>
          <w:color w:val="4472C4"/>
          <w:sz w:val="26"/>
        </w:rPr>
        <w:t>1. Экспедиция (данные)</w:t>
      </w:r>
    </w:p>
    <w:p w14:paraId="556B395E">
      <w:pPr>
        <w:spacing w:before="0" w:after="60"/>
      </w:pPr>
      <w:r>
        <w:rPr>
          <w:b w:val="0"/>
          <w:sz w:val="22"/>
        </w:rPr>
        <w:t>Команда загружает реальные данные: Росстат, тарифы медицинских сервисов, транспортные издержки, данные о специалистах. Источники обновляют параметры модели в data/russia-settlements.json и data/service-params.json. Лаборатория не ждёт полной картины — итерирует по мере поступления данных.</w:t>
      </w:r>
    </w:p>
    <w:p w14:paraId="1955961B">
      <w:pPr>
        <w:pStyle w:val="3"/>
      </w:pPr>
      <w:r>
        <w:rPr>
          <w:b/>
          <w:color w:val="4472C4"/>
          <w:sz w:val="26"/>
        </w:rPr>
        <w:t>2. Спека (утверждение)</w:t>
      </w:r>
    </w:p>
    <w:p w14:paraId="2B292089">
      <w:pPr>
        <w:spacing w:before="0" w:after="60"/>
      </w:pPr>
      <w:r>
        <w:rPr>
          <w:b w:val="0"/>
          <w:sz w:val="22"/>
        </w:rPr>
        <w:t>Участник формулирует claim — исследовательскую гипотезу об отрасли. Лаборатория переводит её в автоматический тест (spec). Тест задаёт: генератор случайных сценариев, функцию оценки, инварианты, метрики. Команда запускает: node utils/spec-runner.mjs specs/executable/bas-industry.spec.mjs</w:t>
      </w:r>
    </w:p>
    <w:p w14:paraId="661ADDE1">
      <w:pPr>
        <w:pStyle w:val="3"/>
      </w:pPr>
      <w:r>
        <w:rPr>
          <w:b/>
          <w:color w:val="ED7D31"/>
          <w:sz w:val="26"/>
        </w:rPr>
        <w:t>3. Оспаривание (собор)</w:t>
      </w:r>
    </w:p>
    <w:p w14:paraId="5F945CC4">
      <w:pPr>
        <w:spacing w:before="0" w:after="60"/>
      </w:pPr>
      <w:r>
        <w:rPr>
          <w:b w:val="0"/>
          <w:sz w:val="22"/>
        </w:rPr>
        <w:t>Если тест GREEN — утверждение доказано на 2 000 сценариев, публикуется. Если тест RED — разбираем нарушающие сценарии, уточняем граничные условия. Результат RED не означает "утверждение неверно" — он означает "мы нашли конкретные параметры, при которых оно не выполняется". Это ценнее, чем недоказанное согласие.</w:t>
      </w:r>
    </w:p>
    <w:p w14:paraId="26D84800">
      <w:pPr>
        <w:pStyle w:val="3"/>
      </w:pPr>
      <w:r>
        <w:rPr>
          <w:b/>
          <w:color w:val="2E7D32"/>
          <w:sz w:val="26"/>
        </w:rPr>
        <w:t>4. Калибровка (реальность)</w:t>
      </w:r>
    </w:p>
    <w:p w14:paraId="290F6EBC">
      <w:pPr>
        <w:spacing w:before="0" w:after="60"/>
      </w:pPr>
      <w:r>
        <w:rPr>
          <w:b w:val="0"/>
          <w:sz w:val="22"/>
        </w:rPr>
        <w:t>Каждый реальный пилот БАС (поселение X, флот N, сервис Y) обновляет параметры спецификации. Утверждение становится точнее по мере поступления реальных данных. Лаборатория — это живая модель, не отчёт.</w:t>
      </w:r>
    </w:p>
    <w:p w14:paraId="453E07D8">
      <w:pPr>
        <w:pStyle w:val="3"/>
      </w:pPr>
      <w:r>
        <w:rPr>
          <w:b/>
          <w:color w:val="C00000"/>
          <w:sz w:val="26"/>
        </w:rPr>
        <w:t>5. Артефакт (для внешних)</w:t>
      </w:r>
    </w:p>
    <w:p w14:paraId="24CC8D89">
      <w:pPr>
        <w:spacing w:before="0" w:after="60"/>
      </w:pPr>
      <w:r>
        <w:rPr>
          <w:b w:val="0"/>
          <w:sz w:val="22"/>
        </w:rPr>
        <w:t>Спека + результат прогона = упаковка для регулятора, производителя, инвестора. "Вот тест, вот результат, оспорьте параметры" — это иной разговор, чем "мы считаем, что нужны дроны".</w:t>
      </w:r>
    </w:p>
    <w:p w14:paraId="2684D882">
      <w:pPr>
        <w:pBdr>
          <w:bottom w:val="single" w:color="BDBDBD" w:sz="6" w:space="1"/>
        </w:pBdr>
        <w:spacing w:before="80" w:after="80"/>
      </w:pPr>
    </w:p>
    <w:p w14:paraId="41EDE7DF">
      <w:pPr>
        <w:pStyle w:val="2"/>
      </w:pPr>
      <w:r>
        <w:rPr>
          <w:b/>
          <w:color w:val="212121"/>
          <w:sz w:val="32"/>
        </w:rPr>
        <w:t>6. Тайм-план: 8 дней</w:t>
      </w:r>
    </w:p>
    <w:p w14:paraId="0CCA40A8">
      <w:pPr>
        <w:spacing w:before="0" w:after="60"/>
      </w:pPr>
      <w:r>
        <w:rPr>
          <w:b w:val="0"/>
          <w:sz w:val="22"/>
        </w:rPr>
        <w:t>Лаборатория работает в два этапа: 1 день в Нижнем Новгороде (подготовка) и 7 дней в Сарове (полевая работа + создание инструментов).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77"/>
        <w:gridCol w:w="3685"/>
        <w:gridCol w:w="3118"/>
      </w:tblGrid>
      <w:tr w14:paraId="75547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F2F2F2"/>
          </w:tcPr>
          <w:p w14:paraId="53B2F301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День</w:t>
            </w:r>
          </w:p>
        </w:tc>
        <w:tc>
          <w:tcPr>
            <w:tcW w:w="1134" w:type="dxa"/>
            <w:shd w:val="clear" w:color="auto" w:fill="F2F2F2"/>
          </w:tcPr>
          <w:p w14:paraId="5ACF8E31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Фаза</w:t>
            </w:r>
          </w:p>
        </w:tc>
        <w:tc>
          <w:tcPr>
            <w:tcW w:w="3685" w:type="dxa"/>
            <w:shd w:val="clear" w:color="auto" w:fill="F2F2F2"/>
          </w:tcPr>
          <w:p w14:paraId="6A06F94C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Что делает лаборатория</w:t>
            </w:r>
          </w:p>
        </w:tc>
        <w:tc>
          <w:tcPr>
            <w:tcW w:w="3118" w:type="dxa"/>
            <w:shd w:val="clear" w:color="auto" w:fill="F2F2F2"/>
          </w:tcPr>
          <w:p w14:paraId="74AB7E48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Образ результата</w:t>
            </w:r>
          </w:p>
        </w:tc>
      </w:tr>
      <w:tr w14:paraId="5DA0E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B8556E9">
            <w:pPr>
              <w:spacing w:after="0" w:line="240" w:lineRule="auto"/>
            </w:pPr>
            <w:r>
              <w:rPr>
                <w:sz w:val="20"/>
              </w:rPr>
              <w:t>НН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25–27 июл</w:t>
            </w:r>
          </w:p>
        </w:tc>
        <w:tc>
          <w:tcPr>
            <w:tcW w:w="1134" w:type="dxa"/>
          </w:tcPr>
          <w:p w14:paraId="045FE31E">
            <w:pPr>
              <w:spacing w:after="0" w:line="240" w:lineRule="auto"/>
            </w:pPr>
            <w:r>
              <w:rPr>
                <w:sz w:val="20"/>
              </w:rPr>
              <w:t>Подготовка</w:t>
            </w:r>
          </w:p>
        </w:tc>
        <w:tc>
          <w:tcPr>
            <w:tcW w:w="3685" w:type="dxa"/>
          </w:tcPr>
          <w:p w14:paraId="451CA52B">
            <w:pPr>
              <w:spacing w:after="0" w:line="240" w:lineRule="auto"/>
            </w:pPr>
            <w:r>
              <w:rPr>
                <w:sz w:val="20"/>
              </w:rPr>
              <w:t>Загрузка отрасли: игроки, нормативка, данные. Формулировка первого claim.</w:t>
            </w:r>
          </w:p>
        </w:tc>
        <w:tc>
          <w:tcPr>
            <w:tcW w:w="3118" w:type="dxa"/>
          </w:tcPr>
          <w:p w14:paraId="40BAD4C9">
            <w:pPr>
              <w:spacing w:after="0" w:line="240" w:lineRule="auto"/>
            </w:pPr>
            <w:r>
              <w:rPr>
                <w:sz w:val="20"/>
              </w:rPr>
              <w:t>Карта игроков. Claim №1 сформулирован и проверен на базовой модели.</w:t>
            </w:r>
          </w:p>
        </w:tc>
      </w:tr>
      <w:tr w14:paraId="2FBD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6C20D7D">
            <w:pPr>
              <w:spacing w:after="0" w:line="240" w:lineRule="auto"/>
            </w:pPr>
            <w:r>
              <w:rPr>
                <w:sz w:val="20"/>
              </w:rPr>
              <w:t>Д1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3 авг</w:t>
            </w:r>
          </w:p>
        </w:tc>
        <w:tc>
          <w:tcPr>
            <w:tcW w:w="1134" w:type="dxa"/>
          </w:tcPr>
          <w:p w14:paraId="3B5778EE">
            <w:pPr>
              <w:spacing w:after="0" w:line="240" w:lineRule="auto"/>
            </w:pPr>
            <w:r>
              <w:rPr>
                <w:sz w:val="20"/>
              </w:rPr>
              <w:t>Саров</w:t>
            </w:r>
          </w:p>
        </w:tc>
        <w:tc>
          <w:tcPr>
            <w:tcW w:w="3685" w:type="dxa"/>
          </w:tcPr>
          <w:p w14:paraId="6126BBD1">
            <w:pPr>
              <w:spacing w:after="0" w:line="240" w:lineRule="auto"/>
            </w:pPr>
            <w:r>
              <w:rPr>
                <w:sz w:val="20"/>
              </w:rPr>
              <w:t>Загрузка реальных данных Росстат и Минздрав в модель.</w:t>
            </w:r>
          </w:p>
        </w:tc>
        <w:tc>
          <w:tcPr>
            <w:tcW w:w="3118" w:type="dxa"/>
          </w:tcPr>
          <w:p w14:paraId="5DF3AF24">
            <w:pPr>
              <w:spacing w:after="0" w:line="240" w:lineRule="auto"/>
            </w:pPr>
            <w:r>
              <w:rPr>
                <w:sz w:val="20"/>
              </w:rPr>
              <w:t>data/russia-settlements.json обновлён. Базовая линия для 5 регионов.</w:t>
            </w:r>
          </w:p>
        </w:tc>
      </w:tr>
      <w:tr w14:paraId="2C58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519D6D9">
            <w:pPr>
              <w:spacing w:after="0" w:line="240" w:lineRule="auto"/>
            </w:pPr>
            <w:r>
              <w:rPr>
                <w:sz w:val="20"/>
              </w:rPr>
              <w:t>Д2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4 авг</w:t>
            </w:r>
          </w:p>
        </w:tc>
        <w:tc>
          <w:tcPr>
            <w:tcW w:w="1134" w:type="dxa"/>
          </w:tcPr>
          <w:p w14:paraId="35E0A760">
            <w:pPr>
              <w:spacing w:after="0" w:line="240" w:lineRule="auto"/>
            </w:pPr>
            <w:r>
              <w:rPr>
                <w:sz w:val="20"/>
              </w:rPr>
              <w:t>Саров</w:t>
            </w:r>
          </w:p>
        </w:tc>
        <w:tc>
          <w:tcPr>
            <w:tcW w:w="3685" w:type="dxa"/>
          </w:tcPr>
          <w:p w14:paraId="7F2F977D">
            <w:pPr>
              <w:spacing w:after="0" w:line="240" w:lineRule="auto"/>
            </w:pPr>
            <w:r>
              <w:rPr>
                <w:sz w:val="20"/>
              </w:rPr>
              <w:t>Доказать CASCADE@60: структурный скачок при 60% БАС.</w:t>
            </w:r>
          </w:p>
        </w:tc>
        <w:tc>
          <w:tcPr>
            <w:tcW w:w="3118" w:type="dxa"/>
          </w:tcPr>
          <w:p w14:paraId="3B21DC14">
            <w:pPr>
              <w:spacing w:after="0" w:line="240" w:lineRule="auto"/>
            </w:pPr>
            <w:r>
              <w:rPr>
                <w:sz w:val="20"/>
              </w:rPr>
              <w:t>Спека CASCADE_AT_60 → GREEN (2 000 сценариев, 0 нарушений).</w:t>
            </w:r>
          </w:p>
        </w:tc>
      </w:tr>
      <w:tr w14:paraId="52E9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A8DB77B">
            <w:pPr>
              <w:spacing w:after="0" w:line="240" w:lineRule="auto"/>
            </w:pPr>
            <w:r>
              <w:rPr>
                <w:sz w:val="20"/>
              </w:rPr>
              <w:t>Д3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5 авг</w:t>
            </w:r>
          </w:p>
        </w:tc>
        <w:tc>
          <w:tcPr>
            <w:tcW w:w="1134" w:type="dxa"/>
          </w:tcPr>
          <w:p w14:paraId="46EE1435">
            <w:pPr>
              <w:spacing w:after="0" w:line="240" w:lineRule="auto"/>
            </w:pPr>
            <w:r>
              <w:rPr>
                <w:sz w:val="20"/>
              </w:rPr>
              <w:t>Саров</w:t>
            </w:r>
          </w:p>
        </w:tc>
        <w:tc>
          <w:tcPr>
            <w:tcW w:w="3685" w:type="dxa"/>
          </w:tcPr>
          <w:p w14:paraId="1B374480">
            <w:pPr>
              <w:spacing w:after="0" w:line="240" w:lineRule="auto"/>
            </w:pPr>
            <w:r>
              <w:rPr>
                <w:sz w:val="20"/>
              </w:rPr>
              <w:t>Территориальная модель: топ-20 приоритетных территорий.</w:t>
            </w:r>
          </w:p>
        </w:tc>
        <w:tc>
          <w:tcPr>
            <w:tcW w:w="3118" w:type="dxa"/>
          </w:tcPr>
          <w:p w14:paraId="3B87DD7E">
            <w:pPr>
              <w:spacing w:after="0" w:line="240" w:lineRule="auto"/>
            </w:pPr>
            <w:r>
              <w:rPr>
                <w:sz w:val="20"/>
              </w:rPr>
              <w:t>◆ КОНТРОЛЬНАЯ ТОЧКА: карта приоритетов для регулятора.</w:t>
            </w:r>
          </w:p>
        </w:tc>
      </w:tr>
      <w:tr w14:paraId="7DEF8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390A2A1">
            <w:pPr>
              <w:spacing w:after="0" w:line="240" w:lineRule="auto"/>
            </w:pPr>
            <w:r>
              <w:rPr>
                <w:sz w:val="20"/>
              </w:rPr>
              <w:t>Д4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6 авг</w:t>
            </w:r>
          </w:p>
        </w:tc>
        <w:tc>
          <w:tcPr>
            <w:tcW w:w="1134" w:type="dxa"/>
          </w:tcPr>
          <w:p w14:paraId="33BDB9F3">
            <w:pPr>
              <w:spacing w:after="0" w:line="240" w:lineRule="auto"/>
            </w:pPr>
            <w:r>
              <w:rPr>
                <w:sz w:val="20"/>
              </w:rPr>
              <w:t>Саров</w:t>
            </w:r>
          </w:p>
        </w:tc>
        <w:tc>
          <w:tcPr>
            <w:tcW w:w="3685" w:type="dxa"/>
          </w:tcPr>
          <w:p w14:paraId="52286B78">
            <w:pPr>
              <w:spacing w:after="0" w:line="240" w:lineRule="auto"/>
            </w:pPr>
            <w:r>
              <w:rPr>
                <w:sz w:val="20"/>
              </w:rPr>
              <w:t>15-летняя симуляция: аттракторы A и B, 5 архетипов поселений.</w:t>
            </w:r>
          </w:p>
        </w:tc>
        <w:tc>
          <w:tcPr>
            <w:tcW w:w="3118" w:type="dxa"/>
          </w:tcPr>
          <w:p w14:paraId="4645EB60">
            <w:pPr>
              <w:spacing w:after="0" w:line="240" w:lineRule="auto"/>
            </w:pPr>
            <w:r>
              <w:rPr>
                <w:sz w:val="20"/>
              </w:rPr>
              <w:t>Окно вмешательства: годы 5–8 — максимальный рычаг политики.</w:t>
            </w:r>
          </w:p>
        </w:tc>
      </w:tr>
      <w:tr w14:paraId="51FA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C9B452D">
            <w:pPr>
              <w:spacing w:after="0" w:line="240" w:lineRule="auto"/>
            </w:pPr>
            <w:r>
              <w:rPr>
                <w:sz w:val="20"/>
              </w:rPr>
              <w:t>Д5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7 авг</w:t>
            </w:r>
          </w:p>
        </w:tc>
        <w:tc>
          <w:tcPr>
            <w:tcW w:w="1134" w:type="dxa"/>
          </w:tcPr>
          <w:p w14:paraId="3A76E08C">
            <w:pPr>
              <w:spacing w:after="0" w:line="240" w:lineRule="auto"/>
            </w:pPr>
            <w:r>
              <w:rPr>
                <w:sz w:val="20"/>
              </w:rPr>
              <w:t>Саров</w:t>
            </w:r>
          </w:p>
        </w:tc>
        <w:tc>
          <w:tcPr>
            <w:tcW w:w="3685" w:type="dxa"/>
          </w:tcPr>
          <w:p w14:paraId="06EB9E6F">
            <w:pPr>
              <w:spacing w:after="0" w:line="240" w:lineRule="auto"/>
            </w:pPr>
            <w:r>
              <w:rPr>
                <w:sz w:val="20"/>
              </w:rPr>
              <w:t>3 регуляторных сценария, меры поддержки, карта типов дронов.</w:t>
            </w:r>
          </w:p>
        </w:tc>
        <w:tc>
          <w:tcPr>
            <w:tcW w:w="3118" w:type="dxa"/>
          </w:tcPr>
          <w:p w14:paraId="783322C9">
            <w:pPr>
              <w:spacing w:after="0" w:line="240" w:lineRule="auto"/>
            </w:pPr>
            <w:r>
              <w:rPr>
                <w:sz w:val="20"/>
              </w:rPr>
              <w:t>◆ КОНТРОЛЬНАЯ ТОЧКА: разница 7 лет — политическое решение.</w:t>
            </w:r>
          </w:p>
        </w:tc>
      </w:tr>
      <w:tr w14:paraId="5424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04A77E4">
            <w:pPr>
              <w:spacing w:after="0" w:line="240" w:lineRule="auto"/>
            </w:pPr>
            <w:r>
              <w:rPr>
                <w:sz w:val="20"/>
              </w:rPr>
              <w:t>Д6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8 авг</w:t>
            </w:r>
          </w:p>
        </w:tc>
        <w:tc>
          <w:tcPr>
            <w:tcW w:w="1134" w:type="dxa"/>
          </w:tcPr>
          <w:p w14:paraId="3A194059">
            <w:pPr>
              <w:spacing w:after="0" w:line="240" w:lineRule="auto"/>
            </w:pPr>
            <w:r>
              <w:rPr>
                <w:sz w:val="20"/>
              </w:rPr>
              <w:t>Саров</w:t>
            </w:r>
          </w:p>
        </w:tc>
        <w:tc>
          <w:tcPr>
            <w:tcW w:w="3685" w:type="dxa"/>
          </w:tcPr>
          <w:p w14:paraId="32F571CA">
            <w:pPr>
              <w:spacing w:after="0" w:line="240" w:lineRule="auto"/>
            </w:pPr>
            <w:r>
              <w:rPr>
                <w:sz w:val="20"/>
              </w:rPr>
              <w:t>Синтез: связная картина для регулятора и производителя.</w:t>
            </w:r>
          </w:p>
        </w:tc>
        <w:tc>
          <w:tcPr>
            <w:tcW w:w="3118" w:type="dxa"/>
          </w:tcPr>
          <w:p w14:paraId="61B28A84">
            <w:pPr>
              <w:spacing w:after="0" w:line="240" w:lineRule="auto"/>
            </w:pPr>
            <w:r>
              <w:rPr>
                <w:sz w:val="20"/>
              </w:rPr>
              <w:t>Отраслевой отчёт: утверждения + доказательства + границы.</w:t>
            </w:r>
          </w:p>
        </w:tc>
      </w:tr>
      <w:tr w14:paraId="145E5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F21A8A5">
            <w:pPr>
              <w:spacing w:after="0" w:line="240" w:lineRule="auto"/>
            </w:pPr>
            <w:r>
              <w:rPr>
                <w:sz w:val="20"/>
              </w:rPr>
              <w:t>ИНС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9 авг</w:t>
            </w:r>
          </w:p>
        </w:tc>
        <w:tc>
          <w:tcPr>
            <w:tcW w:w="1134" w:type="dxa"/>
          </w:tcPr>
          <w:p w14:paraId="1916A1A9">
            <w:pPr>
              <w:spacing w:after="0" w:line="240" w:lineRule="auto"/>
            </w:pPr>
            <w:r>
              <w:rPr>
                <w:sz w:val="20"/>
              </w:rPr>
              <w:t>Инструменты</w:t>
            </w:r>
          </w:p>
        </w:tc>
        <w:tc>
          <w:tcPr>
            <w:tcW w:w="3685" w:type="dxa"/>
          </w:tcPr>
          <w:p w14:paraId="185210B1">
            <w:pPr>
              <w:spacing w:after="0" w:line="240" w:lineRule="auto"/>
            </w:pPr>
            <w:r>
              <w:rPr>
                <w:sz w:val="20"/>
              </w:rPr>
              <w:t>Финализация MCP-сервера, спек, документации.</w:t>
            </w:r>
          </w:p>
        </w:tc>
        <w:tc>
          <w:tcPr>
            <w:tcW w:w="3118" w:type="dxa"/>
          </w:tcPr>
          <w:p w14:paraId="7D5CD284">
            <w:pPr>
              <w:spacing w:after="0" w:line="240" w:lineRule="auto"/>
            </w:pPr>
            <w:r>
              <w:rPr>
                <w:sz w:val="20"/>
              </w:rPr>
              <w:t>BAS Industry MCP: 8 инструментов — GREEN. Пакет передан.</w:t>
            </w:r>
          </w:p>
        </w:tc>
      </w:tr>
    </w:tbl>
    <w:p w14:paraId="188E4211"/>
    <w:p w14:paraId="0D0F845E">
      <w:pPr>
        <w:spacing w:before="0" w:after="60"/>
      </w:pPr>
      <w:r>
        <w:rPr>
          <w:b/>
          <w:sz w:val="22"/>
        </w:rPr>
        <w:t>◆ Контрольные точки (Д3, Д5) — решение принимает человек. Модель предоставляет данные, но не подменяет стратегический выбор.</w:t>
      </w:r>
    </w:p>
    <w:p w14:paraId="6DD49C05">
      <w:pPr>
        <w:pBdr>
          <w:bottom w:val="single" w:color="BDBDBD" w:sz="6" w:space="1"/>
        </w:pBdr>
        <w:spacing w:before="80" w:after="80"/>
      </w:pPr>
    </w:p>
    <w:p w14:paraId="7B7DE6E3">
      <w:pPr>
        <w:pStyle w:val="2"/>
      </w:pPr>
      <w:r>
        <w:rPr>
          <w:b/>
          <w:color w:val="212121"/>
          <w:sz w:val="32"/>
        </w:rPr>
        <w:t>7. Участники и роли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685"/>
        <w:gridCol w:w="3402"/>
      </w:tblGrid>
      <w:tr w14:paraId="04C3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F2F2F2"/>
          </w:tcPr>
          <w:p w14:paraId="4FA52101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Роль</w:t>
            </w:r>
          </w:p>
        </w:tc>
        <w:tc>
          <w:tcPr>
            <w:tcW w:w="3685" w:type="dxa"/>
            <w:shd w:val="clear" w:color="auto" w:fill="F2F2F2"/>
          </w:tcPr>
          <w:p w14:paraId="5F47FC68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Задача в лаборатории</w:t>
            </w:r>
          </w:p>
        </w:tc>
        <w:tc>
          <w:tcPr>
            <w:tcW w:w="3402" w:type="dxa"/>
            <w:shd w:val="clear" w:color="auto" w:fill="F2F2F2"/>
          </w:tcPr>
          <w:p w14:paraId="6C3CDC89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Принимает решения о</w:t>
            </w:r>
          </w:p>
        </w:tc>
      </w:tr>
      <w:tr w14:paraId="5F7A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4B1E759">
            <w:pPr>
              <w:spacing w:after="0" w:line="240" w:lineRule="auto"/>
            </w:pPr>
            <w:r>
              <w:rPr>
                <w:sz w:val="20"/>
              </w:rPr>
              <w:t>Исследователь</w:t>
            </w:r>
          </w:p>
        </w:tc>
        <w:tc>
          <w:tcPr>
            <w:tcW w:w="3685" w:type="dxa"/>
          </w:tcPr>
          <w:p w14:paraId="4257FB7B">
            <w:pPr>
              <w:spacing w:after="0" w:line="240" w:lineRule="auto"/>
            </w:pPr>
            <w:r>
              <w:rPr>
                <w:sz w:val="20"/>
              </w:rPr>
              <w:t>Ставит вопросы, формулирует claims, одобряет граничные условия</w:t>
            </w:r>
          </w:p>
        </w:tc>
        <w:tc>
          <w:tcPr>
            <w:tcW w:w="3402" w:type="dxa"/>
          </w:tcPr>
          <w:p w14:paraId="1DF67CB1">
            <w:pPr>
              <w:spacing w:after="0" w:line="240" w:lineRule="auto"/>
            </w:pPr>
            <w:r>
              <w:rPr>
                <w:sz w:val="20"/>
              </w:rPr>
              <w:t>Какие утверждения доказывать; как интерпретировать RED</w:t>
            </w:r>
          </w:p>
        </w:tc>
      </w:tr>
      <w:tr w14:paraId="78D8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AEFF274">
            <w:pPr>
              <w:spacing w:after="0" w:line="240" w:lineRule="auto"/>
            </w:pPr>
            <w:r>
              <w:rPr>
                <w:sz w:val="20"/>
              </w:rPr>
              <w:t>Инженер данных</w:t>
            </w:r>
          </w:p>
        </w:tc>
        <w:tc>
          <w:tcPr>
            <w:tcW w:w="3685" w:type="dxa"/>
          </w:tcPr>
          <w:p w14:paraId="37DFB110">
            <w:pPr>
              <w:spacing w:after="0" w:line="240" w:lineRule="auto"/>
            </w:pPr>
            <w:r>
              <w:rPr>
                <w:sz w:val="20"/>
              </w:rPr>
              <w:t>Поставляет данные, калибрует параметры, обновляет data/*.json</w:t>
            </w:r>
          </w:p>
        </w:tc>
        <w:tc>
          <w:tcPr>
            <w:tcW w:w="3402" w:type="dxa"/>
          </w:tcPr>
          <w:p w14:paraId="1543FDC7">
            <w:pPr>
              <w:spacing w:after="0" w:line="240" w:lineRule="auto"/>
            </w:pPr>
            <w:r>
              <w:rPr>
                <w:sz w:val="20"/>
              </w:rPr>
              <w:t>Качество данных; замена прокси реальными значениями</w:t>
            </w:r>
          </w:p>
        </w:tc>
      </w:tr>
      <w:tr w14:paraId="2D35F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2150850">
            <w:pPr>
              <w:spacing w:after="0" w:line="240" w:lineRule="auto"/>
            </w:pPr>
            <w:r>
              <w:rPr>
                <w:sz w:val="20"/>
              </w:rPr>
              <w:t>Агент (Мета-КБ)</w:t>
            </w:r>
          </w:p>
        </w:tc>
        <w:tc>
          <w:tcPr>
            <w:tcW w:w="3685" w:type="dxa"/>
          </w:tcPr>
          <w:p w14:paraId="58F986B3">
            <w:pPr>
              <w:spacing w:after="0" w:line="240" w:lineRule="auto"/>
            </w:pPr>
            <w:r>
              <w:rPr>
                <w:sz w:val="20"/>
              </w:rPr>
              <w:t>Запускает спеки, анализирует нарушения RED, генерирует следующие гипотезы</w:t>
            </w:r>
          </w:p>
        </w:tc>
        <w:tc>
          <w:tcPr>
            <w:tcW w:w="3402" w:type="dxa"/>
          </w:tcPr>
          <w:p w14:paraId="1061753E">
            <w:pPr>
              <w:spacing w:after="0" w:line="240" w:lineRule="auto"/>
            </w:pPr>
            <w:r>
              <w:rPr>
                <w:sz w:val="20"/>
              </w:rPr>
              <w:t>Не принимает — выполняет и докладывает</w:t>
            </w:r>
          </w:p>
        </w:tc>
      </w:tr>
      <w:tr w14:paraId="2FF6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52F5E04">
            <w:pPr>
              <w:spacing w:after="0" w:line="240" w:lineRule="auto"/>
            </w:pPr>
            <w:r>
              <w:rPr>
                <w:sz w:val="20"/>
              </w:rPr>
              <w:t>Фасилитатор</w:t>
            </w:r>
          </w:p>
        </w:tc>
        <w:tc>
          <w:tcPr>
            <w:tcW w:w="3685" w:type="dxa"/>
          </w:tcPr>
          <w:p w14:paraId="2DBA744B">
            <w:pPr>
              <w:spacing w:after="0" w:line="240" w:lineRule="auto"/>
            </w:pPr>
            <w:r>
              <w:rPr>
                <w:sz w:val="20"/>
              </w:rPr>
              <w:t>Ведёт витки работы, фиксирует контрольные точки</w:t>
            </w:r>
          </w:p>
        </w:tc>
        <w:tc>
          <w:tcPr>
            <w:tcW w:w="3402" w:type="dxa"/>
          </w:tcPr>
          <w:p w14:paraId="041439B5">
            <w:pPr>
              <w:spacing w:after="0" w:line="240" w:lineRule="auto"/>
            </w:pPr>
            <w:r>
              <w:rPr>
                <w:sz w:val="20"/>
              </w:rPr>
              <w:t>Темп и приоритет витков</w:t>
            </w:r>
          </w:p>
        </w:tc>
      </w:tr>
    </w:tbl>
    <w:p w14:paraId="19BFB4DB">
      <w:pPr>
        <w:pBdr>
          <w:bottom w:val="single" w:color="BDBDBD" w:sz="6" w:space="1"/>
        </w:pBdr>
        <w:spacing w:before="80" w:after="80"/>
      </w:pPr>
    </w:p>
    <w:p w14:paraId="529AEC11">
      <w:pPr>
        <w:pStyle w:val="2"/>
      </w:pPr>
      <w:r>
        <w:rPr>
          <w:b/>
          <w:color w:val="212121"/>
          <w:sz w:val="32"/>
        </w:rPr>
        <w:t>8. Честные границы модели (что лаборатория НЕ делает)</w:t>
      </w:r>
    </w:p>
    <w:p w14:paraId="3F0D5220">
      <w:pPr>
        <w:spacing w:before="0" w:after="60"/>
      </w:pPr>
      <w:r>
        <w:rPr>
          <w:b w:val="0"/>
          <w:sz w:val="22"/>
        </w:rPr>
        <w:t>Граница честная — часть результата. Скрывать ограничения опаснее, чем их назвать.</w:t>
      </w:r>
    </w:p>
    <w:p w14:paraId="62E28F72">
      <w:pPr>
        <w:pStyle w:val="22"/>
        <w:spacing w:after="40"/>
        <w:ind w:left="283"/>
      </w:pPr>
      <w:r>
        <w:rPr>
          <w:sz w:val="22"/>
        </w:rPr>
        <w:t>Не моделирует политическую волю регулятора (это человеческое решение)</w:t>
      </w:r>
    </w:p>
    <w:p w14:paraId="0628828E">
      <w:pPr>
        <w:pStyle w:val="22"/>
        <w:spacing w:after="40"/>
        <w:ind w:left="283"/>
      </w:pPr>
      <w:r>
        <w:rPr>
          <w:sz w:val="22"/>
        </w:rPr>
        <w:t>Не учитывает форс-мажоры (эвакуация, войны, природные катастрофы)</w:t>
      </w:r>
    </w:p>
    <w:p w14:paraId="13987597">
      <w:pPr>
        <w:pStyle w:val="22"/>
        <w:spacing w:after="40"/>
        <w:ind w:left="283"/>
      </w:pPr>
      <w:r>
        <w:rPr>
          <w:sz w:val="22"/>
        </w:rPr>
        <w:t>Не знает реальные цены дронов после 2028 — использует текущие тренды</w:t>
      </w:r>
    </w:p>
    <w:p w14:paraId="6DEDE4F9">
      <w:pPr>
        <w:pStyle w:val="22"/>
        <w:spacing w:after="40"/>
        <w:ind w:left="283"/>
      </w:pPr>
      <w:r>
        <w:rPr>
          <w:sz w:val="22"/>
        </w:rPr>
        <w:t>Не учитывает телемедицину как конкурента медицинского дрона</w:t>
      </w:r>
    </w:p>
    <w:p w14:paraId="509961FB">
      <w:pPr>
        <w:pStyle w:val="22"/>
        <w:spacing w:after="40"/>
        <w:ind w:left="283"/>
      </w:pPr>
      <w:r>
        <w:rPr>
          <w:sz w:val="22"/>
        </w:rPr>
        <w:t>Не моделирует сетевой эффект 2-го порядка (несколько поселений + один хаб)</w:t>
      </w:r>
    </w:p>
    <w:p w14:paraId="4751EFAD">
      <w:pPr>
        <w:pStyle w:val="22"/>
        <w:spacing w:after="40"/>
        <w:ind w:left="283"/>
      </w:pPr>
      <w:r>
        <w:rPr>
          <w:sz w:val="22"/>
        </w:rPr>
        <w:t>Не заменяет полевое исследование — усиливает его вопросами</w:t>
      </w:r>
    </w:p>
    <w:p w14:paraId="4963D454">
      <w:pPr>
        <w:pBdr>
          <w:bottom w:val="single" w:color="BDBDBD" w:sz="6" w:space="1"/>
        </w:pBdr>
        <w:spacing w:before="80" w:after="80"/>
      </w:pPr>
    </w:p>
    <w:p w14:paraId="2C8E6641">
      <w:pPr>
        <w:pStyle w:val="2"/>
      </w:pPr>
      <w:r>
        <w:rPr>
          <w:b/>
          <w:color w:val="212121"/>
          <w:sz w:val="32"/>
        </w:rPr>
        <w:t>9. Место в экосистеме НЭКИ</w:t>
      </w:r>
    </w:p>
    <w:p w14:paraId="1EDC068D">
      <w:pPr>
        <w:spacing w:before="0" w:after="60"/>
      </w:pPr>
      <w:r>
        <w:rPr>
          <w:b w:val="0"/>
          <w:sz w:val="22"/>
        </w:rPr>
        <w:t>Лаборатория БАС — сквозная: БАС обеспечивает инфраструктуру для остальных четырёх лабораторий на территориях, где её нет.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953"/>
      </w:tblGrid>
      <w:tr w14:paraId="78A2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2F2F2"/>
          </w:tcPr>
          <w:p w14:paraId="4EB5CD71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Лаборатория НЭКИ</w:t>
            </w:r>
          </w:p>
        </w:tc>
        <w:tc>
          <w:tcPr>
            <w:tcW w:w="5953" w:type="dxa"/>
            <w:shd w:val="clear" w:color="auto" w:fill="F2F2F2"/>
          </w:tcPr>
          <w:p w14:paraId="27DE9D02">
            <w:pPr>
              <w:spacing w:after="0" w:line="240" w:lineRule="auto"/>
            </w:pPr>
            <w:r>
              <w:rPr>
                <w:b/>
                <w:color w:val="212121"/>
                <w:sz w:val="20"/>
              </w:rPr>
              <w:t>Как БАС обеспечивает</w:t>
            </w:r>
          </w:p>
        </w:tc>
      </w:tr>
      <w:tr w14:paraId="74C9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2A1D9EB0">
            <w:pPr>
              <w:spacing w:after="0" w:line="240" w:lineRule="auto"/>
            </w:pPr>
            <w:r>
              <w:rPr>
                <w:sz w:val="20"/>
              </w:rPr>
              <w:t>Природная экономика</w:t>
            </w:r>
          </w:p>
        </w:tc>
        <w:tc>
          <w:tcPr>
            <w:tcW w:w="5953" w:type="dxa"/>
          </w:tcPr>
          <w:p w14:paraId="2B3B5BBA">
            <w:pPr>
              <w:spacing w:after="0" w:line="240" w:lineRule="auto"/>
            </w:pPr>
            <w:r>
              <w:rPr>
                <w:sz w:val="20"/>
              </w:rPr>
              <w:t>Дрон-инспектор угодий, мониторинг охраняемых территорий</w:t>
            </w:r>
          </w:p>
        </w:tc>
      </w:tr>
      <w:tr w14:paraId="075B6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1D93DF4">
            <w:pPr>
              <w:spacing w:after="0" w:line="240" w:lineRule="auto"/>
            </w:pPr>
            <w:r>
              <w:rPr>
                <w:sz w:val="20"/>
              </w:rPr>
              <w:t>Климатическая устойчивость</w:t>
            </w:r>
          </w:p>
        </w:tc>
        <w:tc>
          <w:tcPr>
            <w:tcW w:w="5953" w:type="dxa"/>
          </w:tcPr>
          <w:p w14:paraId="59B31551">
            <w:pPr>
              <w:spacing w:after="0" w:line="240" w:lineRule="auto"/>
            </w:pPr>
            <w:r>
              <w:rPr>
                <w:sz w:val="20"/>
              </w:rPr>
              <w:t>Дрон-разведчик пожаров, мониторинг паводков</w:t>
            </w:r>
          </w:p>
        </w:tc>
      </w:tr>
      <w:tr w14:paraId="2738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C1DC613">
            <w:pPr>
              <w:spacing w:after="0" w:line="240" w:lineRule="auto"/>
            </w:pPr>
            <w:r>
              <w:rPr>
                <w:sz w:val="20"/>
              </w:rPr>
              <w:t>Здоровая среда</w:t>
            </w:r>
          </w:p>
        </w:tc>
        <w:tc>
          <w:tcPr>
            <w:tcW w:w="5953" w:type="dxa"/>
          </w:tcPr>
          <w:p w14:paraId="7BB00666">
            <w:pPr>
              <w:spacing w:after="0" w:line="240" w:lineRule="auto"/>
            </w:pPr>
            <w:r>
              <w:rPr>
                <w:sz w:val="20"/>
              </w:rPr>
              <w:t>Медицинский дрон (70–150 км, 5 кг), телемедицина последней мили</w:t>
            </w:r>
          </w:p>
        </w:tc>
      </w:tr>
      <w:tr w14:paraId="262CE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F654170">
            <w:pPr>
              <w:spacing w:after="0" w:line="240" w:lineRule="auto"/>
            </w:pPr>
            <w:r>
              <w:rPr>
                <w:sz w:val="20"/>
              </w:rPr>
              <w:t>Пищевая автономия</w:t>
            </w:r>
          </w:p>
        </w:tc>
        <w:tc>
          <w:tcPr>
            <w:tcW w:w="5953" w:type="dxa"/>
          </w:tcPr>
          <w:p w14:paraId="78E2BB2F">
            <w:pPr>
              <w:spacing w:after="0" w:line="240" w:lineRule="auto"/>
            </w:pPr>
            <w:r>
              <w:rPr>
                <w:sz w:val="20"/>
              </w:rPr>
              <w:t>Агродрон: протравливание, посев, мониторинг урожая</w:t>
            </w:r>
          </w:p>
        </w:tc>
      </w:tr>
      <w:tr w14:paraId="35C25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21D0060">
            <w:pPr>
              <w:spacing w:after="0" w:line="240" w:lineRule="auto"/>
            </w:pPr>
            <w:r>
              <w:rPr>
                <w:sz w:val="20"/>
              </w:rPr>
              <w:t>Энергетическая автономия</w:t>
            </w:r>
          </w:p>
        </w:tc>
        <w:tc>
          <w:tcPr>
            <w:tcW w:w="5953" w:type="dxa"/>
          </w:tcPr>
          <w:p w14:paraId="7E762C69">
            <w:pPr>
              <w:spacing w:after="0" w:line="240" w:lineRule="auto"/>
            </w:pPr>
            <w:r>
              <w:rPr>
                <w:sz w:val="20"/>
              </w:rPr>
              <w:t>Дрон-инспектор ВИЭ (солнечные фермы, ветряки в труднодоступных местах)</w:t>
            </w:r>
          </w:p>
        </w:tc>
      </w:tr>
    </w:tbl>
    <w:p w14:paraId="26EBFC38">
      <w:pPr>
        <w:pBdr>
          <w:bottom w:val="single" w:color="BDBDBD" w:sz="6" w:space="1"/>
        </w:pBdr>
        <w:spacing w:before="80" w:after="80"/>
      </w:pPr>
    </w:p>
    <w:p w14:paraId="5F95FBD4"/>
    <w:p w14:paraId="4E76FF44">
      <w:pPr>
        <w:jc w:val="right"/>
      </w:pPr>
      <w:r>
        <w:rPr>
          <w:color w:val="595959"/>
          <w:sz w:val="20"/>
        </w:rPr>
        <w:t>КБ ГаврИИл Код · Архи</w:t>
      </w:r>
      <w:bookmarkStart w:id="0" w:name="_GoBack"/>
      <w:bookmarkEnd w:id="0"/>
      <w:r>
        <w:rPr>
          <w:color w:val="595959"/>
          <w:sz w:val="20"/>
        </w:rPr>
        <w:t>пелаг Автономность 2026</w:t>
      </w:r>
    </w:p>
    <w:sectPr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BF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1137</Words>
  <Characters>7510</Characters>
  <Lines>0</Lines>
  <Paragraphs>0</Paragraphs>
  <TotalTime>2</TotalTime>
  <ScaleCrop>false</ScaleCrop>
  <LinksUpToDate>false</LinksUpToDate>
  <CharactersWithSpaces>8504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unide</cp:lastModifiedBy>
  <dcterms:modified xsi:type="dcterms:W3CDTF">2026-06-24T17:29:19Z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eyJoZGlkIjoiNTJjNmQxNTlmNmE4OWZiYzQ2NjU0MzZhY2U0ZjczZDYifQ==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D8635FA69F7C45F6BDD64745997BC7C8_12</vt:lpwstr>
  </property>
</Properties>
</file>