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3FB5"/>
          <w:sz w:val="48"/>
        </w:rPr>
        <w:t>ПРОГРАММА ТРАНСФОРМАЦИИ</w:t>
        <w:br/>
        <w:t>ПЛАТФОРМЫ НТИ</w:t>
      </w:r>
    </w:p>
    <w:p>
      <w:pPr>
        <w:jc w:val="center"/>
      </w:pPr>
      <w:r>
        <w:rPr>
          <w:sz w:val="26"/>
        </w:rPr>
        <w:t>Переход к Мета-КБ: от координационного центра</w:t>
        <w:br/>
        <w:t>к стигмергийной среде проектирования</w:t>
      </w:r>
    </w:p>
    <w:p/>
    <w:p>
      <w:pPr>
        <w:jc w:val="center"/>
      </w:pPr>
      <w:r>
        <w:rPr>
          <w:sz w:val="22"/>
        </w:rPr>
        <w:t>Версия 1.0</w:t>
        <w:br/>
        <w:t>21.05.2026</w:t>
        <w:br/>
        <w:t>Конфиденциально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spacing w:after="40"/>
      </w:pPr>
      <w:r>
        <w:t>1. Резюме для руководства</w:t>
      </w:r>
    </w:p>
    <w:p>
      <w:pPr>
        <w:spacing w:after="40"/>
      </w:pPr>
      <w:r>
        <w:t>2. Диагноз: почему текущая модель НТИ исчерпана</w:t>
      </w:r>
    </w:p>
    <w:p>
      <w:pPr>
        <w:spacing w:after="40"/>
      </w:pPr>
      <w:r>
        <w:t>3. Целевая модель: стигмергийная платформа</w:t>
      </w:r>
    </w:p>
    <w:p>
      <w:pPr>
        <w:spacing w:after="40"/>
      </w:pPr>
      <w:r>
        <w:t>4. Архитектура перехода: 3 этапа</w:t>
      </w:r>
    </w:p>
    <w:p>
      <w:pPr>
        <w:spacing w:after="40"/>
      </w:pPr>
      <w:r>
        <w:t>5. Этап I: Прототип (июнь 2026)</w:t>
      </w:r>
    </w:p>
    <w:p>
      <w:pPr>
        <w:spacing w:after="40"/>
      </w:pPr>
      <w:r>
        <w:t>6. Этап II: Масштабирование (август–сентябрь 2026)</w:t>
      </w:r>
    </w:p>
    <w:p>
      <w:pPr>
        <w:spacing w:after="40"/>
      </w:pPr>
      <w:r>
        <w:t>7. Этап III: Платформа (октябрь 2026 – 2027)</w:t>
      </w:r>
    </w:p>
    <w:p>
      <w:pPr>
        <w:spacing w:after="40"/>
      </w:pPr>
      <w:r>
        <w:t>8. Метрики успеха</w:t>
      </w:r>
    </w:p>
    <w:p>
      <w:pPr>
        <w:spacing w:after="40"/>
      </w:pPr>
      <w:r>
        <w:t>9. Риски и противодействие</w:t>
      </w:r>
    </w:p>
    <w:p>
      <w:pPr>
        <w:spacing w:after="40"/>
      </w:pPr>
      <w:r>
        <w:t>10. Ресурсный план</w:t>
      </w:r>
    </w:p>
    <w:p>
      <w:pPr>
        <w:spacing w:after="40"/>
      </w:pPr>
      <w:r>
        <w:t>11. Организационная модель</w:t>
      </w:r>
    </w:p>
    <w:p>
      <w:pPr>
        <w:spacing w:after="40"/>
      </w:pPr>
      <w:r>
        <w:t>12. Конкурентная стратегия (оргоружие)</w:t>
      </w:r>
    </w:p>
    <w:p>
      <w:pPr>
        <w:spacing w:after="40"/>
      </w:pPr>
      <w:r>
        <w:t>Приложение А: Глоссарий</w:t>
      </w:r>
    </w:p>
    <w:p>
      <w:pPr>
        <w:spacing w:after="40"/>
      </w:pPr>
      <w:r>
        <w:t>Приложение Б: Референсная архитектура REG</w:t>
      </w:r>
    </w:p>
    <w:p>
      <w:r>
        <w:br w:type="page"/>
      </w:r>
    </w:p>
    <w:p>
      <w:pPr>
        <w:pStyle w:val="Heading1"/>
      </w:pPr>
      <w:r>
        <w:t>1. Резюме для руководства</w:t>
      </w:r>
    </w:p>
    <w:p>
      <w:pPr>
        <w:spacing w:after="120"/>
      </w:pPr>
      <w:r>
        <w:t>Настоящий документ представляет программу трансформации Платформы Национальной технологической инициативы (НТИ) из координационного центра в стигмергийную среду коллективного проектирования — Мета КБ.</w:t>
      </w:r>
    </w:p>
    <w:p>
      <w:pPr>
        <w:spacing w:after="120"/>
      </w:pPr>
      <w:r>
        <w:t>Ключевая проблема текущей модели: НТИ функционирует как посредник между разрозненными конструкторскими бюро, стартапами и заказчиками. Это создаёт бутылочное горлышко: все связи проходят через НТИ, скорость координации ограничена пропускной способностью аппарата, знания не накапливаются.</w:t>
      </w:r>
    </w:p>
    <w:p>
      <w:pPr>
        <w:spacing w:after="120"/>
      </w:pPr>
      <w:r>
        <w:t>Целевая модель: НТИ как Платформа-среда. Участники взаимодействуют напрямую через общую информационную среду (REG + Zulip + W-матрица). НТИ не назначает связи — среда делает их видимыми и достижимыми.</w:t>
      </w:r>
    </w:p>
    <w:p>
      <w:pPr>
        <w:spacing w:after="120"/>
      </w:pPr>
      <w:r>
        <w:t>Программа рассчитана на 18 месяцев и включает три этапа: Прототип (июнь 2026), Масштабирование (август–сентябрь), Платформа (октябрь 2026 – 2027).</w:t>
      </w:r>
    </w:p>
    <w:p>
      <w:pPr>
        <w:spacing w:after="120"/>
      </w:pPr>
      <w:r>
        <w:t>Целевые метрики: сокращение времени от идеи до прототипа в 3–5 раз; снижение доли повторяемых ошибок до нуля; экспоненциальный рост ценности сети с каждым новым участником (закон Рида).</w:t>
      </w:r>
    </w:p>
    <w:p>
      <w:r>
        <w:br w:type="page"/>
      </w:r>
    </w:p>
    <w:p>
      <w:pPr>
        <w:pStyle w:val="Heading1"/>
      </w:pPr>
      <w:r>
        <w:t>2. Диагноз: почему текущая модель НТИ исчерпана</w:t>
      </w:r>
    </w:p>
    <w:p>
      <w:pPr>
        <w:spacing w:after="120"/>
      </w:pPr>
      <w:r>
        <w:t>Текущая организационная модель НТИ представляет собой консорциум с координационным центром. Эта модель эффективна на этапе запуска (первые 3–5 лет), но демонстрирует фундаментальные ограничения при масштабировании.</w:t>
      </w:r>
    </w:p>
    <w:p>
      <w:pPr>
        <w:pStyle w:val="Heading2"/>
      </w:pPr>
      <w:r>
        <w:t>2.1 Пять структурных ограничений</w:t>
      </w:r>
    </w:p>
    <w:p>
      <w:pPr>
        <w:spacing w:after="80"/>
      </w:pPr>
      <w:r>
        <w:rPr>
          <w:b/>
        </w:rPr>
        <w:t xml:space="preserve">Бутылочное горлышко координации. </w:t>
      </w:r>
      <w:r>
        <w:t>Все значимые взаимодействия между участниками проходят через аппарат НТИ. С ростом числа участников пропускная способность аппарата не растёт пропорционально — коммуникационная нагрузка растёт по Меткалфу (N²), а ресурсы аппарата — линейно.</w:t>
      </w:r>
    </w:p>
    <w:p>
      <w:pPr>
        <w:spacing w:after="80"/>
      </w:pPr>
      <w:r>
        <w:rPr>
          <w:b/>
        </w:rPr>
        <w:t xml:space="preserve">Потеря проектного знания. </w:t>
      </w:r>
      <w:r>
        <w:t>Когда конструкторское бюро завершает проект и уходит с платформы, все его наработки, отвергнутые альтернативы и неформальное знание уходят вместе с ним. Следующее КБ начинает с нуля.</w:t>
      </w:r>
    </w:p>
    <w:p>
      <w:pPr>
        <w:spacing w:after="80"/>
      </w:pPr>
      <w:r>
        <w:rPr>
          <w:b/>
        </w:rPr>
        <w:t xml:space="preserve">Невидимость совместимости. </w:t>
      </w:r>
      <w:r>
        <w:t>Две команды, работающие над смежными узлами одного изделия, не знают о конфликте своих решений до этапа натурных испытаний. Система не предоставляет автоматического обнаружения коллизий.</w:t>
      </w:r>
    </w:p>
    <w:p>
      <w:pPr>
        <w:spacing w:after="80"/>
      </w:pPr>
      <w:r>
        <w:rPr>
          <w:b/>
        </w:rPr>
        <w:t xml:space="preserve">Иерархическая топология. </w:t>
      </w:r>
      <w:r>
        <w:t>Связи между участниками образуют звезду с центром в НТИ. Горизонтальные связи неформальны и невидимы. При уходе ключевого сотрудника НТИ теряются связи со всеми закреплёнными за ним КБ.</w:t>
      </w:r>
    </w:p>
    <w:p>
      <w:pPr>
        <w:spacing w:after="80"/>
      </w:pPr>
      <w:r>
        <w:rPr>
          <w:b/>
        </w:rPr>
        <w:t xml:space="preserve">Отсутствие накопительного эффекта. </w:t>
      </w:r>
      <w:r>
        <w:t>Каждый новый проект стартует с чистого листа. Пятое КБ, решающее задачу профиля крыла, не получает автоматически знания первых четырёх. Платформа не обучается.</w:t>
      </w:r>
    </w:p>
    <w:p>
      <w:pPr>
        <w:pStyle w:val="Heading2"/>
      </w:pPr>
      <w:r>
        <w:t>2.2 Математическая иллюстрация</w:t>
      </w:r>
    </w:p>
    <w:p>
      <w:pPr>
        <w:spacing w:after="120"/>
      </w:pPr>
      <w:r>
        <w:t>Пусть на платформе N участников (КБ, стартапов, лабораторий). В текущей модели НТИ ценность платформы пропорциональна N (закон Сарнова): каждый участник получает доступ к ресурсам центра. В целевой модели ценность пропорциональна 2^N (закон Рида): любые подмножества участников могут образовывать проектные группы.</w:t>
      </w:r>
    </w:p>
    <w:p>
      <w:pPr>
        <w:spacing w:after="120"/>
      </w:pPr>
      <w:r>
        <w:t>При N=10: старая модель → 10 единиц ценности; новая модель → 1 024.</w:t>
      </w:r>
    </w:p>
    <w:p>
      <w:pPr>
        <w:spacing w:after="120"/>
      </w:pPr>
      <w:r>
        <w:t>При N=20: старая модель → 20 единиц; новая модель → 1 048 576.</w:t>
      </w:r>
    </w:p>
    <w:p>
      <w:pPr>
        <w:spacing w:after="120"/>
      </w:pPr>
      <w:r>
        <w:t>Разрыв не в процентах — он экспоненциальный. Трансформация оргформы — единственный способ его преодолеть.</w:t>
      </w:r>
    </w:p>
    <w:p>
      <w:r>
        <w:br w:type="page"/>
      </w:r>
    </w:p>
    <w:p>
      <w:pPr>
        <w:pStyle w:val="Heading1"/>
      </w:pPr>
      <w:r>
        <w:t>3. Целевая модель: стигмергийная платформа</w:t>
      </w:r>
    </w:p>
    <w:p>
      <w:pPr>
        <w:spacing w:after="120"/>
      </w:pPr>
      <w:r>
        <w:t>Целевая организационная форма Платформы НТИ — стигмергийная среда, в которой участники координируются не через приказы и назначения, а через общую информационную среду.</w:t>
      </w:r>
    </w:p>
    <w:p>
      <w:pPr>
        <w:pStyle w:val="Heading2"/>
      </w:pPr>
      <w:r>
        <w:t>3.1 Ключевые принципы</w:t>
      </w:r>
    </w:p>
    <w:p>
      <w:pPr>
        <w:spacing w:after="80"/>
      </w:pPr>
      <w:r>
        <w:rPr>
          <w:b/>
        </w:rPr>
        <w:t xml:space="preserve">Среда вместо посредника.: </w:t>
      </w:r>
      <w:r>
        <w:t>НТИ перестаёт быть промежуточным звеном между участниками и становится средой, в которой участники взаимодействуют напрямую. REG + Zulip + W-матрица образуют эту среду.</w:t>
      </w:r>
    </w:p>
    <w:p>
      <w:pPr>
        <w:spacing w:after="80"/>
      </w:pPr>
      <w:r>
        <w:rPr>
          <w:b/>
        </w:rPr>
        <w:t xml:space="preserve">Видимость вместо назначения.: </w:t>
      </w:r>
      <w:r>
        <w:t>Никто не назначает команду под задачу. Система показывает: (а) кто уже решал похожую задачу, (б) кто активен в этом домене сейчас, (в) с кем совместимы их решения. Команда формируется сама.</w:t>
      </w:r>
    </w:p>
    <w:p>
      <w:pPr>
        <w:spacing w:after="80"/>
      </w:pPr>
      <w:r>
        <w:rPr>
          <w:b/>
        </w:rPr>
        <w:t xml:space="preserve">Необратимость вместо перезаписи.: </w:t>
      </w:r>
      <w:r>
        <w:t>Каждое проектное решение — необратимый акт дара в REG. Нельзя удалить или переписать историю. Можно только добавить новое решение, которое заменяет (supersedes) предыдущее.</w:t>
      </w:r>
    </w:p>
    <w:p>
      <w:pPr>
        <w:spacing w:after="80"/>
      </w:pPr>
      <w:r>
        <w:rPr>
          <w:b/>
        </w:rPr>
        <w:t xml:space="preserve">Приватность архитектурно.: </w:t>
      </w:r>
      <w:r>
        <w:t>Конфиденциальные запросы шардируются между AI-провайдерами. Ни один внешний сервис не видит полной картины проекта.</w:t>
      </w:r>
    </w:p>
    <w:p>
      <w:pPr>
        <w:pStyle w:val="Heading2"/>
      </w:pPr>
      <w:r>
        <w:t>3.2 Компоненты платформы</w:t>
      </w:r>
    </w:p>
    <w:p>
      <w:pPr>
        <w:spacing w:after="80"/>
      </w:pPr>
      <w:r>
        <w:rPr>
          <w:b/>
        </w:rPr>
        <w:t xml:space="preserve">REG (Registry Graph): </w:t>
      </w:r>
      <w:r>
        <w:t>Реестр-граф проектных решений с typed связями (depends_on, conflicts_with, supersedes, compatible_with, informs) и provenance. Каждое решение — узел с автором, командой, вердиктом, доказательной базой.</w:t>
      </w:r>
    </w:p>
    <w:p>
      <w:pPr>
        <w:spacing w:after="80"/>
      </w:pPr>
      <w:r>
        <w:rPr>
          <w:b/>
        </w:rPr>
        <w:t xml:space="preserve">Zulip-среда: </w:t>
      </w:r>
      <w:r>
        <w:t>Топик-ориентированная коммуникационная подсистема. Все обсуждения структурированы по доменам и темам. Сообщения не исчезают в ленте — становятся постоянным знанием.</w:t>
      </w:r>
    </w:p>
    <w:p>
      <w:pPr>
        <w:spacing w:after="80"/>
      </w:pPr>
      <w:r>
        <w:rPr>
          <w:b/>
        </w:rPr>
        <w:t xml:space="preserve">W-матрица: </w:t>
      </w:r>
      <w:r>
        <w:t>Тензор весов даров между участниками. Эмерджентная структура, показывающая реальные связи (кто кому дал знание/расчёт/решение), а не формальную оргструктуру.</w:t>
      </w:r>
    </w:p>
    <w:p>
      <w:pPr>
        <w:spacing w:after="80"/>
      </w:pPr>
      <w:r>
        <w:rPr>
          <w:b/>
        </w:rPr>
        <w:t xml:space="preserve">Кентавр-интерфейс: </w:t>
      </w:r>
      <w:r>
        <w:t>Режим работы «человек + AI-агент» как одно лицо. Человек ставит телос, агент обеспечивает анамнезис.</w:t>
      </w:r>
    </w:p>
    <w:p>
      <w:pPr>
        <w:spacing w:after="80"/>
      </w:pPr>
      <w:r>
        <w:rPr>
          <w:b/>
        </w:rPr>
        <w:t xml:space="preserve">Шардер: </w:t>
      </w:r>
      <w:r>
        <w:t>Подсистема конфиденциальности. Запросы к AI разбиваются на фрагменты, каждый уходит к разному провайдеру.</w:t>
      </w:r>
    </w:p>
    <w:p>
      <w:r>
        <w:br w:type="page"/>
      </w:r>
    </w:p>
    <w:p>
      <w:pPr>
        <w:pStyle w:val="Heading1"/>
      </w:pPr>
      <w:r>
        <w:t>4. Архитектура перехода: 3 этапа</w:t>
      </w:r>
    </w:p>
    <w:p>
      <w:pPr>
        <w:spacing w:after="120"/>
      </w:pPr>
      <w:r>
        <w:t>Трансформация платформы не может быть одномоментной. Предлагается трёхэтапный переход, минимизирующий риски и обеспечивающий управляемость на каждом шаге.</w:t>
      </w:r>
    </w:p>
    <w:p>
      <w:pPr>
        <w:spacing w:after="120"/>
      </w:pPr>
      <w:r>
        <w:rPr>
          <w:b/>
        </w:rPr>
        <w:t xml:space="preserve">Этап I: Прототип (июнь 2026): </w:t>
      </w:r>
      <w:r>
        <w:t>Работающий прототип на демо-данных. Показывает ключевой сценарий: конструктор приходит с запросом — система даёт анамнезис. Цель: продемонстрировать концепцию и получить одобрение.</w:t>
      </w:r>
    </w:p>
    <w:p>
      <w:pPr>
        <w:spacing w:after="120"/>
      </w:pPr>
      <w:r>
        <w:rPr>
          <w:b/>
        </w:rPr>
        <w:t xml:space="preserve">Этап II: Масштабирование (август–сентябрь 2026): </w:t>
      </w:r>
      <w:r>
        <w:t>Подключение реальных данных 2–3 пилотных КБ. Мульти-пользовательский режим. Интеграция с существующей инфраструктурой НТИ. Цель: получить первые метрики эффективности.</w:t>
      </w:r>
    </w:p>
    <w:p>
      <w:pPr>
        <w:spacing w:after="120"/>
      </w:pPr>
      <w:r>
        <w:rPr>
          <w:b/>
        </w:rPr>
        <w:t xml:space="preserve">Этап III: Платформа (октябрь 2026 – 2027): </w:t>
      </w:r>
      <w:r>
        <w:t>Полномасштабное развёртывание. API для внешних систем. Обучение агентов на накопленных данных. Тиражирование на все КБ НТИ. Цель: платформа как стандарт проектной деятельности.</w:t>
      </w:r>
    </w:p>
    <w:p>
      <w:r>
        <w:br w:type="page"/>
      </w:r>
    </w:p>
    <w:p>
      <w:pPr>
        <w:pStyle w:val="Heading1"/>
      </w:pPr>
      <w:r>
        <w:t>5. Этап I: Прототип (июнь 2026)</w:t>
      </w:r>
    </w:p>
    <w:p>
      <w:pPr>
        <w:spacing w:after="120"/>
      </w:pPr>
      <w:r>
        <w:t>Цель этапа: к 20 июня 2026 года представить работающий прототип на демо-данных, демонстрирующий ключевой сценарий анамнезиса проектного решения. Презентация на внутреннем совещании НТИ.</w:t>
      </w:r>
    </w:p>
    <w:p>
      <w:pPr>
        <w:pStyle w:val="Heading2"/>
      </w:pPr>
      <w:r>
        <w:t>5.1 Что будет показано</w:t>
      </w:r>
    </w:p>
    <w:p>
      <w:pPr>
        <w:pStyle w:val="ListBullet"/>
      </w:pPr>
      <w:r>
        <w:t>Конструктор формулирует проектную задачу (запрос на естественном языке)</w:t>
      </w:r>
    </w:p>
    <w:p>
      <w:pPr>
        <w:pStyle w:val="ListBullet"/>
      </w:pPr>
      <w:r>
        <w:t>Система выполняет анамнезис: кто уже решал эту задачу, какие подходы отклонены, с кем совместимо</w:t>
      </w:r>
    </w:p>
    <w:p>
      <w:pPr>
        <w:pStyle w:val="ListBullet"/>
      </w:pPr>
      <w:r>
        <w:t>Система показывает конфликт (резонанс X450 + углепластик) — предотвращена реальная ошибка</w:t>
      </w:r>
    </w:p>
    <w:p>
      <w:pPr>
        <w:pStyle w:val="ListBullet"/>
      </w:pPr>
      <w:r>
        <w:t>Система демонстрирует шардирование запроса между провайдерами — конфиденциальность обеспечена</w:t>
      </w:r>
    </w:p>
    <w:p>
      <w:pPr>
        <w:pStyle w:val="ListBullet"/>
      </w:pPr>
      <w:r>
        <w:t>Zulip-среда показывает историю обсуждений — знания не теряются</w:t>
      </w:r>
    </w:p>
    <w:p>
      <w:pPr>
        <w:pStyle w:val="ListBullet"/>
      </w:pPr>
      <w:r>
        <w:t>W-матрица показывает реальные связи между участниками</w:t>
      </w:r>
    </w:p>
    <w:p>
      <w:pPr>
        <w:pStyle w:val="Heading2"/>
      </w:pPr>
      <w:r>
        <w:t>5.2 Технический состав прототипа</w:t>
      </w:r>
    </w:p>
    <w:p>
      <w:pPr>
        <w:pStyle w:val="ListBullet"/>
      </w:pPr>
      <w:r>
        <w:t>REG DecisionGraph на JavaScript/Node.js (append-only JSONL)</w:t>
      </w:r>
    </w:p>
    <w:p>
      <w:pPr>
        <w:pStyle w:val="ListBullet"/>
      </w:pPr>
      <w:r>
        <w:t>Zulip-подобная среда (стримы/топики/сообщения, поиск)</w:t>
      </w:r>
    </w:p>
    <w:p>
      <w:pPr>
        <w:pStyle w:val="ListBullet"/>
      </w:pPr>
      <w:r>
        <w:t>Шардер запросов (разбиение на N частей, распределение по провайдерам)</w:t>
      </w:r>
    </w:p>
    <w:p>
      <w:pPr>
        <w:pStyle w:val="ListBullet"/>
      </w:pPr>
      <w:r>
        <w:t>HTML-презентация (7 слайдов)</w:t>
      </w:r>
    </w:p>
    <w:p>
      <w:pPr>
        <w:pStyle w:val="ListBullet"/>
      </w:pPr>
      <w:r>
        <w:t>Word-документ концепции (для команды)</w:t>
      </w:r>
    </w:p>
    <w:p>
      <w:pPr>
        <w:pStyle w:val="ListBullet"/>
      </w:pPr>
      <w:r>
        <w:t>CLI для демонстрации: gift-reg, gift-zulip, gift-shard</w:t>
      </w:r>
    </w:p>
    <w:p>
      <w:pPr>
        <w:pStyle w:val="Heading2"/>
      </w:pPr>
      <w:r>
        <w:t>5.3 Демо-данные</w:t>
      </w:r>
    </w:p>
    <w:p>
      <w:pPr>
        <w:spacing w:after="120"/>
      </w:pPr>
      <w:r>
        <w:t>Для прототипа используется синтетический кейс проектирования БПЛА массой 5 кг. Данные включают: 7 проектных решений в 4 доменах (аэродинамика, материалы, силовая установка, авионика), 6 типизированных связей между решениями, 10 сообщений в 6 топиках Zulip-среды от 4 инженеров.</w:t>
      </w:r>
    </w:p>
    <w:p>
      <w:r>
        <w:br w:type="page"/>
      </w:r>
    </w:p>
    <w:p>
      <w:pPr>
        <w:pStyle w:val="Heading1"/>
      </w:pPr>
      <w:r>
        <w:t>6. Этап II: Масштабирование (август–сентябрь 2026)</w:t>
      </w:r>
    </w:p>
    <w:p>
      <w:pPr>
        <w:spacing w:after="120"/>
      </w:pPr>
      <w:r>
        <w:t>Цель: перейти от демо-данных к реальным данным 2–3 пилотных конструкторских бюро, участвующих в программах НТИ.</w:t>
      </w:r>
    </w:p>
    <w:p>
      <w:pPr>
        <w:pStyle w:val="Heading2"/>
      </w:pPr>
      <w:r>
        <w:t>6.1 Задачи этапа</w:t>
      </w:r>
    </w:p>
    <w:p>
      <w:pPr>
        <w:spacing w:after="80"/>
      </w:pPr>
      <w:r>
        <w:rPr>
          <w:b/>
        </w:rPr>
        <w:t xml:space="preserve">Подключение пилотных КБ.: </w:t>
      </w:r>
      <w:r>
        <w:t>Выбрать 2–3 КБ из разных доменов (например, одно авиационное, одно по материалам, одно по авионике). Импортировать их проектную историю в REG. Обеспечить onboarding инженеров в Zulip-среду.</w:t>
      </w:r>
    </w:p>
    <w:p>
      <w:pPr>
        <w:spacing w:after="80"/>
      </w:pPr>
      <w:r>
        <w:rPr>
          <w:b/>
        </w:rPr>
        <w:t xml:space="preserve">Мульти-пользовательский режим.: </w:t>
      </w:r>
      <w:r>
        <w:t>Реализовать идентификацию кентавров (человек + агент = одно лицо). Синхронизация контекста между сессиями. Автоматическое определение доменной принадлежности запроса.</w:t>
      </w:r>
    </w:p>
    <w:p>
      <w:pPr>
        <w:spacing w:after="80"/>
      </w:pPr>
      <w:r>
        <w:rPr>
          <w:b/>
        </w:rPr>
        <w:t xml:space="preserve">Интеграция с инфраструктурой НТИ.: </w:t>
      </w:r>
      <w:r>
        <w:t>Подключение к существующей базе данных НТИ (Integram). Синхронизация реестра участников. Единая аутентификация.</w:t>
      </w:r>
    </w:p>
    <w:p>
      <w:pPr>
        <w:spacing w:after="80"/>
      </w:pPr>
      <w:r>
        <w:rPr>
          <w:b/>
        </w:rPr>
        <w:t xml:space="preserve">Сбор первых метрик.: </w:t>
      </w:r>
      <w:r>
        <w:t>Время от запроса до анамнестической справки. Доля повторно найденных решений. Количество предотвращённых коллизий. Число горизонтальных связей, возникших без участия НТИ.</w:t>
      </w:r>
    </w:p>
    <w:p>
      <w:pPr>
        <w:pStyle w:val="Heading2"/>
      </w:pPr>
      <w:r>
        <w:t>6.2 Ключевое событие: Архипелаг 2026</w:t>
      </w:r>
    </w:p>
    <w:p>
      <w:pPr>
        <w:spacing w:after="120"/>
      </w:pPr>
      <w:r>
        <w:t>Августовский Архипелаг НТИ — ключевая точка демонстрации. На Архипелаге должны быть показаны: (1) работающая система на реальных данных пилотов, (2) метрики эффективности за 4–6 недель эксплуатации, (3) сценарий совместной работы двух КБ через среду, (4) концепция полномасштабной платформы.</w:t>
      </w:r>
    </w:p>
    <w:p>
      <w:r>
        <w:br w:type="page"/>
      </w:r>
    </w:p>
    <w:p>
      <w:pPr>
        <w:pStyle w:val="Heading1"/>
      </w:pPr>
      <w:r>
        <w:t>7. Этап III: Платформа (октябрь 2026 – 2027)</w:t>
      </w:r>
    </w:p>
    <w:p>
      <w:pPr>
        <w:spacing w:after="120"/>
      </w:pPr>
      <w:r>
        <w:t>Цель: полномасштабное развёртывание Мета КБ как стандартной среды проектной деятельности для всех участников НТИ.</w:t>
      </w:r>
    </w:p>
    <w:p>
      <w:pPr>
        <w:pStyle w:val="Heading2"/>
      </w:pPr>
      <w:r>
        <w:t>7.1 Ключевые сервисы</w:t>
      </w:r>
    </w:p>
    <w:p>
      <w:pPr>
        <w:pStyle w:val="ListBullet"/>
      </w:pPr>
      <w:r>
        <w:t>API для интеграции с внешними CAD/CAE/PLM системами</w:t>
      </w:r>
    </w:p>
    <w:p>
      <w:pPr>
        <w:pStyle w:val="ListBullet"/>
      </w:pPr>
      <w:r>
        <w:t>Семантический поиск по проектным решениям (векторный, Qdrant)</w:t>
      </w:r>
    </w:p>
    <w:p>
      <w:pPr>
        <w:pStyle w:val="ListBullet"/>
      </w:pPr>
      <w:r>
        <w:t>Автоматическое обучение агентов на накопленной истории КБ</w:t>
      </w:r>
    </w:p>
    <w:p>
      <w:pPr>
        <w:pStyle w:val="ListBullet"/>
      </w:pPr>
      <w:r>
        <w:t>Коннекторы к основным инженерным пакетам (КОМПАС, SolidWorks, ANSYS)</w:t>
      </w:r>
    </w:p>
    <w:p>
      <w:pPr>
        <w:pStyle w:val="ListBullet"/>
      </w:pPr>
      <w:r>
        <w:t>On-premise развёртывание для КБ с особыми требованиями безопасности</w:t>
      </w:r>
    </w:p>
    <w:p>
      <w:pPr>
        <w:pStyle w:val="ListBullet"/>
      </w:pPr>
      <w:r>
        <w:t>Федеративный REG: меж-КБ обмен решениями с контролем доступа</w:t>
      </w:r>
    </w:p>
    <w:p>
      <w:pPr>
        <w:pStyle w:val="Heading2"/>
      </w:pPr>
      <w:r>
        <w:t>7.2 Организационная модель</w:t>
      </w:r>
    </w:p>
    <w:p>
      <w:pPr>
        <w:spacing w:after="120"/>
      </w:pPr>
      <w:r>
        <w:t>К концу Этапа III НТИ функционирует как платформа-среда, а не как координатор-посредник. Аппарат НТИ сокращает функции ручного управления и сосредотачивается на: (1) развитии платформы, (2) привлечении новых участников, (3) методологическом сопровождении, (4) взаимодействии с государственными заказчиками.</w:t>
      </w:r>
    </w:p>
    <w:p>
      <w:r>
        <w:br w:type="page"/>
      </w:r>
    </w:p>
    <w:p>
      <w:pPr>
        <w:pStyle w:val="Heading1"/>
      </w:pPr>
      <w:r>
        <w:t>8. Метрики успеха</w:t>
      </w:r>
    </w:p>
    <w:p>
      <w:pPr>
        <w:pStyle w:val="Heading2"/>
      </w:pPr>
      <w:r>
        <w:t>8.1 Операционные метрики</w:t>
      </w:r>
    </w:p>
    <w:p>
      <w:pPr>
        <w:pStyle w:val="ListBullet"/>
      </w:pPr>
      <w:r>
        <w:t>TTA (Time to Anamnesis): время от запроса до структурированного анамнезиса. Цель: &lt; 5 секунд.</w:t>
      </w:r>
    </w:p>
    <w:p>
      <w:pPr>
        <w:pStyle w:val="ListBullet"/>
      </w:pPr>
      <w:r>
        <w:t>RDR (Repeated Decision Rate): доля решений, принятых без учёта предыдущих. Цель: 0%.</w:t>
      </w:r>
    </w:p>
    <w:p>
      <w:pPr>
        <w:pStyle w:val="ListBullet"/>
      </w:pPr>
      <w:r>
        <w:t>CDR (Collision Detection Rate): доля коллизий, обнаруженных до натурных испытаний. Цель: &gt; 90%.</w:t>
      </w:r>
    </w:p>
    <w:p>
      <w:pPr>
        <w:pStyle w:val="ListBullet"/>
      </w:pPr>
      <w:r>
        <w:t>HLC (Horizontal Link Creation): число горизонтальных связей, возникших без участия НТИ. Цель: рост ежемесячно.</w:t>
      </w:r>
    </w:p>
    <w:p>
      <w:pPr>
        <w:pStyle w:val="ListBullet"/>
      </w:pPr>
      <w:r>
        <w:t>SFN (Search to Find ratio): отношение поисковых запросов к найденным решениям. Цель: &gt; 0.7.</w:t>
      </w:r>
    </w:p>
    <w:p>
      <w:pPr>
        <w:pStyle w:val="Heading2"/>
      </w:pPr>
      <w:r>
        <w:t>8.2 Метрики роста платформы</w:t>
      </w:r>
    </w:p>
    <w:p>
      <w:pPr>
        <w:pStyle w:val="ListBullet"/>
      </w:pPr>
      <w:r>
        <w:t>Reed Value: 2^N, где N — число активных кентавров. Цель: удвоение ежеквартально.</w:t>
      </w:r>
    </w:p>
    <w:p>
      <w:pPr>
        <w:pStyle w:val="ListBullet"/>
      </w:pPr>
      <w:r>
        <w:t>User Retention: доля участников, продолжающих использовать платформу через 3 месяца. Цель: &gt; 80%.</w:t>
      </w:r>
    </w:p>
    <w:p>
      <w:pPr>
        <w:pStyle w:val="ListBullet"/>
      </w:pPr>
      <w:r>
        <w:t>Decision Density: число решений на одного участника в месяц. Цель: рост.</w:t>
      </w:r>
    </w:p>
    <w:p>
      <w:pPr>
        <w:pStyle w:val="ListBullet"/>
      </w:pPr>
      <w:r>
        <w:t>Cross-KB Projects: число проектов с участием ≥2 КБ. Цель: рост ежеквартально.</w:t>
      </w:r>
    </w:p>
    <w:p>
      <w:r>
        <w:br w:type="page"/>
      </w:r>
    </w:p>
    <w:p>
      <w:pPr>
        <w:pStyle w:val="Heading1"/>
      </w:pPr>
      <w:r>
        <w:t>9. Риски и противодействие</w:t>
      </w:r>
    </w:p>
    <w:p>
      <w:pPr>
        <w:spacing w:after="120"/>
      </w:pPr>
      <w:r>
        <w:rPr>
          <w:b/>
        </w:rPr>
        <w:t xml:space="preserve">Сопротивление аппарата. [Высокий] </w:t>
      </w:r>
      <w:r>
        <w:t>Переход от координатора к платформе сокращает функции аппарата НТИ. Это вызовет сопротивление. Противодействие: (1) переквалификация сотрудников в методологов платформы, (2) демонстрация роста ценности для всех участников, (3) постепенность перехода.</w:t>
      </w:r>
    </w:p>
    <w:p>
      <w:pPr>
        <w:spacing w:after="120"/>
      </w:pPr>
      <w:r>
        <w:rPr>
          <w:b/>
        </w:rPr>
        <w:t xml:space="preserve">Нежелание КБ делиться данными. [Высокий] </w:t>
      </w:r>
      <w:r>
        <w:t>Конструкторские бюро рассматривают свои решения как конкурентное преимущество. Противодействие: (1) шардирование — данные не покидают периметр КБ; (2) демонстрация выгоды от доступа к чужим решениям; (3) гранулярный контроль доступа.</w:t>
      </w:r>
    </w:p>
    <w:p>
      <w:pPr>
        <w:spacing w:after="120"/>
      </w:pPr>
      <w:r>
        <w:rPr>
          <w:b/>
        </w:rPr>
        <w:t xml:space="preserve">Техническая сложность REG. [Средний] </w:t>
      </w:r>
      <w:r>
        <w:t>Построение графа решений с typed связями требует семантического анализа. Противодействие: (1) начинать с ручного создания связей, автоматизировать постепенно; (2) использовать существующие LLM для извлечения сущностей и связей.</w:t>
      </w:r>
    </w:p>
    <w:p>
      <w:pPr>
        <w:spacing w:after="120"/>
      </w:pPr>
      <w:r>
        <w:rPr>
          <w:b/>
        </w:rPr>
        <w:t xml:space="preserve">Зависимость от AI-провайдеров. [Средний] </w:t>
      </w:r>
      <w:r>
        <w:t>Платформа использует внешние LLM для анализа. Противодействие: (1) шардирование; (2) раунд локальных моделей (Ollama) для чувствительных операций; (3) архитектурная возможность смены провайдера без изменения платформы.</w:t>
      </w:r>
    </w:p>
    <w:p>
      <w:pPr>
        <w:spacing w:after="120"/>
      </w:pPr>
      <w:r>
        <w:rPr>
          <w:b/>
        </w:rPr>
        <w:t xml:space="preserve">Конкуренты. [Низкий] </w:t>
      </w:r>
      <w:r>
        <w:t>Другие платформы предложат альтернативные решения. Противодействие: (1) скорость — первым занять нишу; (2) открытость архитектуры — данные не locked-in; (3) онтологическое преимущество — конкуренты не имеют концептуального фундамента.</w:t>
      </w:r>
    </w:p>
    <w:p>
      <w:r>
        <w:br w:type="page"/>
      </w:r>
    </w:p>
    <w:p>
      <w:pPr>
        <w:pStyle w:val="Heading1"/>
      </w:pPr>
      <w:r>
        <w:t>10. Ресурсный план</w:t>
      </w:r>
    </w:p>
    <w:p>
      <w:pPr>
        <w:pStyle w:val="Heading2"/>
      </w:pPr>
      <w:r>
        <w:t>10.1 Команда</w:t>
      </w:r>
    </w:p>
    <w:p>
      <w:pPr>
        <w:pStyle w:val="ListBullet"/>
      </w:pPr>
      <w:r>
        <w:t>Архитектор платформы (1): проектирование REG, W-матрицы, интеграции</w:t>
      </w:r>
    </w:p>
    <w:p>
      <w:pPr>
        <w:pStyle w:val="ListBullet"/>
      </w:pPr>
      <w:r>
        <w:t>Full-stack разработчик (1): API, Zulip-среда, UI</w:t>
      </w:r>
    </w:p>
    <w:p>
      <w:pPr>
        <w:pStyle w:val="ListBullet"/>
      </w:pPr>
      <w:r>
        <w:t>AI/ML инженер (1): агенты, шардирование, файнтюнинг</w:t>
      </w:r>
    </w:p>
    <w:p>
      <w:pPr>
        <w:pStyle w:val="ListBullet"/>
      </w:pPr>
      <w:r>
        <w:t>Методолог/аналитик (1): онтология, документация, взаимодействие с КБ</w:t>
      </w:r>
    </w:p>
    <w:p>
      <w:pPr>
        <w:pStyle w:val="ListBullet"/>
      </w:pPr>
      <w:r>
        <w:t>Технический писатель (0.5): документация, презентации</w:t>
      </w:r>
    </w:p>
    <w:p>
      <w:pPr>
        <w:pStyle w:val="Heading2"/>
      </w:pPr>
      <w:r>
        <w:t>10.2 Инфраструктура</w:t>
      </w:r>
    </w:p>
    <w:p>
      <w:pPr>
        <w:pStyle w:val="ListBullet"/>
      </w:pPr>
      <w:r>
        <w:t>Сервер (1): для хостинга платформы (уже есть — 173.249.2.184)</w:t>
      </w:r>
    </w:p>
    <w:p>
      <w:pPr>
        <w:pStyle w:val="ListBullet"/>
      </w:pPr>
      <w:r>
        <w:t>GPU (1×T4 или эквивалент): для файнтюнинга агентов (Google Colab / Kaggle)</w:t>
      </w:r>
    </w:p>
    <w:p>
      <w:pPr>
        <w:pStyle w:val="ListBullet"/>
      </w:pPr>
      <w:r>
        <w:t>Домен: meta-kb.nti.drondoc.ru или аналогичный</w:t>
      </w:r>
    </w:p>
    <w:p>
      <w:pPr>
        <w:pStyle w:val="ListBullet"/>
      </w:pPr>
      <w:r>
        <w:t>Хранилище: 50 GB SSD для REG + Zulip + модели</w:t>
      </w:r>
    </w:p>
    <w:p>
      <w:r>
        <w:br w:type="page"/>
      </w:r>
    </w:p>
    <w:p>
      <w:pPr>
        <w:pStyle w:val="Heading1"/>
      </w:pPr>
      <w:r>
        <w:t>11. Конкурентная стратегия (оргоружие)</w:t>
      </w:r>
    </w:p>
    <w:p>
      <w:pPr>
        <w:spacing w:after="120"/>
      </w:pPr>
      <w:r>
        <w:t>Конкуренты НТИ — как традиционные КБ, так и альтернативные платформы — будут пытаться сохранить статус-кво. Мета КБ предлагает оргоружие нового типа: не технологический продукт, а организационную форму, которая экспоненциально эффективнее.</w:t>
      </w:r>
    </w:p>
    <w:p>
      <w:pPr>
        <w:pStyle w:val="Heading2"/>
      </w:pPr>
      <w:r>
        <w:t>11.1 Механизмы конкурентного преимущества</w:t>
      </w:r>
    </w:p>
    <w:p>
      <w:pPr>
        <w:spacing w:after="80"/>
      </w:pPr>
      <w:r>
        <w:rPr>
          <w:b/>
        </w:rPr>
        <w:t xml:space="preserve">Экспоненциальная сеть (закон Рида). </w:t>
      </w:r>
      <w:r>
        <w:t>Каждый новый участник Мета КБ удваивает ценность платформы. Конкуренты масштабируются по Меткалфу (N²) или Сарнову (N). При N=15 разрыв составляет три порядка. Это не догоняется увеличением бюджета.</w:t>
      </w:r>
    </w:p>
    <w:p>
      <w:pPr>
        <w:spacing w:after="80"/>
      </w:pPr>
      <w:r>
        <w:rPr>
          <w:b/>
        </w:rPr>
        <w:t xml:space="preserve">Накопление без потерь. </w:t>
      </w:r>
      <w:r>
        <w:t>В отличие от конкурентов, где знания уходят с людьми, REG сохраняет каждое решение с provenance. Через 3 года платформа содержит всю историю домена. Конкуренты каждый раз начинают заново.</w:t>
      </w:r>
    </w:p>
    <w:p>
      <w:pPr>
        <w:spacing w:after="80"/>
      </w:pPr>
      <w:r>
        <w:rPr>
          <w:b/>
        </w:rPr>
        <w:t xml:space="preserve">Автоматическая совместимость. </w:t>
      </w:r>
      <w:r>
        <w:t>Конкуренты обнаруживают коллизии на этапе испытаний. Мета КБ — на этапе проектирования. Стоимость ошибки, найденной на испытаниях, на 2–3 порядка выше.</w:t>
      </w:r>
    </w:p>
    <w:p>
      <w:pPr>
        <w:spacing w:after="80"/>
      </w:pPr>
      <w:r>
        <w:rPr>
          <w:b/>
        </w:rPr>
        <w:t xml:space="preserve">Приватность как фича. </w:t>
      </w:r>
      <w:r>
        <w:t>Шардирование позволяет использовать лучшие AI-модели без утечки конфиденциальных данных. Конкуренты вынуждены выбирать: либо качество AI, либо безопасность. Мета КБ даёт и то, и другое.</w:t>
      </w:r>
    </w:p>
    <w:p>
      <w:pPr>
        <w:spacing w:after="80"/>
      </w:pPr>
      <w:r>
        <w:rPr>
          <w:b/>
        </w:rPr>
        <w:t xml:space="preserve">Открытость как защита. </w:t>
      </w:r>
      <w:r>
        <w:t>Архитектура на открытых форматах (JSONL, Git) означает, что КБ не locked-in в платформу. В любой момент можно мигрировать. Это снижает барьер входа и повышает доверие.</w:t>
      </w:r>
    </w:p>
    <w:p>
      <w:r>
        <w:br w:type="page"/>
      </w:r>
    </w:p>
    <w:p>
      <w:pPr>
        <w:pStyle w:val="Heading1"/>
      </w:pPr>
      <w:r>
        <w:t>Приложение А: Глоссарий</w:t>
      </w:r>
    </w:p>
    <w:p>
      <w:pPr>
        <w:spacing w:after="60"/>
      </w:pPr>
      <w:r>
        <w:rPr>
          <w:b/>
        </w:rPr>
        <w:t xml:space="preserve">Анамнезис (ἀνάμνησις) — </w:t>
      </w:r>
      <w:r>
        <w:t>Память, делающая прошлое со-присутствующим. В контексте Мета КБ — операция REG, возвращающая структурированный контекст по запросу.</w:t>
      </w:r>
    </w:p>
    <w:p>
      <w:pPr>
        <w:spacing w:after="60"/>
      </w:pPr>
      <w:r>
        <w:rPr>
          <w:b/>
        </w:rPr>
        <w:t xml:space="preserve">W-матрица — </w:t>
      </w:r>
      <w:r>
        <w:t>Тензор весов даров между лицами. Каждый акт проектного дара необратимо увеличивает вес соответствующей нити.</w:t>
      </w:r>
    </w:p>
    <w:p>
      <w:pPr>
        <w:spacing w:after="60"/>
      </w:pPr>
      <w:r>
        <w:rPr>
          <w:b/>
        </w:rPr>
        <w:t xml:space="preserve">Гиперграф — </w:t>
      </w:r>
      <w:r>
        <w:t>Обобщение графа, в котором ребро может соединять произвольное число узлов. В Мета КБ гиперребро — проект, связывающий N кентавров.</w:t>
      </w:r>
    </w:p>
    <w:p>
      <w:pPr>
        <w:spacing w:after="60"/>
      </w:pPr>
      <w:r>
        <w:rPr>
          <w:b/>
        </w:rPr>
        <w:t xml:space="preserve">Закон Рида — </w:t>
      </w:r>
      <w:r>
        <w:t>Ценность сети пропорциональна 2^N, где N — число узлов. Отражает число возможных подгрупп.</w:t>
      </w:r>
    </w:p>
    <w:p>
      <w:pPr>
        <w:spacing w:after="60"/>
      </w:pPr>
      <w:r>
        <w:rPr>
          <w:b/>
        </w:rPr>
        <w:t xml:space="preserve">Закон Меткалфа — </w:t>
      </w:r>
      <w:r>
        <w:t>Ценность сети пропорциональна N². Отражает число возможных попарных связей.</w:t>
      </w:r>
    </w:p>
    <w:p>
      <w:pPr>
        <w:spacing w:after="60"/>
      </w:pPr>
      <w:r>
        <w:rPr>
          <w:b/>
        </w:rPr>
        <w:t xml:space="preserve">Закон Сарнова — </w:t>
      </w:r>
      <w:r>
        <w:t>Ценность сети пропорциональна N. Отражает модель вещания (один → многие).</w:t>
      </w:r>
    </w:p>
    <w:p>
      <w:pPr>
        <w:spacing w:after="60"/>
      </w:pPr>
      <w:r>
        <w:rPr>
          <w:b/>
        </w:rPr>
        <w:t xml:space="preserve">Кентавр — </w:t>
      </w:r>
      <w:r>
        <w:t>Режим работы «человек + AI-агент» как одно лицо в матрице проектных решений. Человек ставит телос, агент обеспечивает анамнезис.</w:t>
      </w:r>
    </w:p>
    <w:p>
      <w:pPr>
        <w:spacing w:after="60"/>
      </w:pPr>
      <w:r>
        <w:rPr>
          <w:b/>
        </w:rPr>
        <w:t xml:space="preserve">Кенозис (κένωσις) — </w:t>
      </w:r>
      <w:r>
        <w:t>Самоопустошение дарителя. В Мета КБ — затраты инженера (времени, компетенции) на создание проектного решения.</w:t>
      </w:r>
    </w:p>
    <w:p>
      <w:pPr>
        <w:spacing w:after="60"/>
      </w:pPr>
      <w:r>
        <w:rPr>
          <w:b/>
        </w:rPr>
        <w:t xml:space="preserve">Пустыня — </w:t>
      </w:r>
      <w:r>
        <w:t>Отсутствие даров между двумя лицами/командами в W-матрице. Индикатор неиспользованного потенциала сотрудничества.</w:t>
      </w:r>
    </w:p>
    <w:p>
      <w:pPr>
        <w:spacing w:after="60"/>
      </w:pPr>
      <w:r>
        <w:rPr>
          <w:b/>
        </w:rPr>
        <w:t xml:space="preserve">Стигмергия — </w:t>
      </w:r>
      <w:r>
        <w:t>Координация через модификацию общей среды. Термины оставляют феромоны, инженеры — записи в REG.</w:t>
      </w:r>
    </w:p>
    <w:p>
      <w:pPr>
        <w:spacing w:after="60"/>
      </w:pPr>
      <w:r>
        <w:rPr>
          <w:b/>
        </w:rPr>
        <w:t xml:space="preserve">Суббота (σάββατον) — </w:t>
      </w:r>
      <w:r>
        <w:t>Право команды на отдых после интенсивной работы. Предотвращает выгорание и обеспечивает качество следующих даров.</w:t>
      </w:r>
    </w:p>
    <w:p>
      <w:pPr>
        <w:spacing w:after="60"/>
      </w:pPr>
      <w:r>
        <w:rPr>
          <w:b/>
        </w:rPr>
        <w:t xml:space="preserve">Шардирование — </w:t>
      </w:r>
      <w:r>
        <w:t>Разбиение конфиденциального запроса на фрагменты и распределение между разными AI-провайдерами.</w:t>
      </w:r>
    </w:p>
    <w:p>
      <w:pPr>
        <w:spacing w:after="60"/>
      </w:pPr>
      <w:r>
        <w:rPr>
          <w:b/>
        </w:rPr>
        <w:t xml:space="preserve">REG (Registry Graph) — </w:t>
      </w:r>
      <w:r>
        <w:t>Реестр-граф проектных решений. Каждый узел — решение с provenance. Связи типизированы.</w:t>
      </w:r>
    </w:p>
    <w:p>
      <w:pPr>
        <w:spacing w:after="60"/>
      </w:pPr>
      <w:r>
        <w:rPr>
          <w:b/>
        </w:rPr>
        <w:t xml:space="preserve">Surplus — </w:t>
      </w:r>
      <w:r>
        <w:t>Принцип «давать больше, чем просят». Surplus &gt; 1 — признак здоровой проектной культуры.</w:t>
      </w:r>
    </w:p>
    <w:p>
      <w:r>
        <w:br w:type="page"/>
      </w:r>
    </w:p>
    <w:p>
      <w:pPr>
        <w:pStyle w:val="Heading1"/>
      </w:pPr>
      <w:r>
        <w:t>Приложение Б: Референсная архитектура REG</w:t>
      </w:r>
    </w:p>
    <w:p>
      <w:pPr>
        <w:spacing w:after="120"/>
      </w:pPr>
      <w:r>
        <w:t>Decision Graph — программное ядро REG. Ниже приведена структура данных и API.</w:t>
      </w:r>
    </w:p>
    <w:p>
      <w:pPr>
        <w:spacing w:after="120"/>
      </w:pPr>
      <w:r>
        <w:t>Структура узла (Decision Node):</w:t>
      </w:r>
    </w:p>
    <w:p>
      <w:pPr>
        <w:pStyle w:val="ListBullet"/>
      </w:pPr>
      <w:r>
        <w:t>id: string — уникальный идентификатор</w:t>
      </w:r>
    </w:p>
    <w:p>
      <w:pPr>
        <w:pStyle w:val="ListBullet"/>
      </w:pPr>
      <w:r>
        <w:t>ts: ISO8601 — временная метка</w:t>
      </w:r>
    </w:p>
    <w:p>
      <w:pPr>
        <w:pStyle w:val="ListBullet"/>
      </w:pPr>
      <w:r>
        <w:t>project: string — проект</w:t>
      </w:r>
    </w:p>
    <w:p>
      <w:pPr>
        <w:pStyle w:val="ListBullet"/>
      </w:pPr>
      <w:r>
        <w:t>domain: string — инженерный домен</w:t>
      </w:r>
    </w:p>
    <w:p>
      <w:pPr>
        <w:pStyle w:val="ListBullet"/>
      </w:pPr>
      <w:r>
        <w:t>title: string — название решения</w:t>
      </w:r>
    </w:p>
    <w:p>
      <w:pPr>
        <w:pStyle w:val="ListBullet"/>
      </w:pPr>
      <w:r>
        <w:t>description: string (500) — описание</w:t>
      </w:r>
    </w:p>
    <w:p>
      <w:pPr>
        <w:pStyle w:val="ListBullet"/>
      </w:pPr>
      <w:r>
        <w:t>madeBy: string — автор</w:t>
      </w:r>
    </w:p>
    <w:p>
      <w:pPr>
        <w:pStyle w:val="ListBullet"/>
      </w:pPr>
      <w:r>
        <w:t>team: string[] — команда</w:t>
      </w:r>
    </w:p>
    <w:p>
      <w:pPr>
        <w:pStyle w:val="ListBullet"/>
      </w:pPr>
      <w:r>
        <w:t>files: string[] — связанные файлы</w:t>
      </w:r>
    </w:p>
    <w:p>
      <w:pPr>
        <w:pStyle w:val="ListBullet"/>
      </w:pPr>
      <w:r>
        <w:t>verdict: decided|rejected|postponed|superseded</w:t>
      </w:r>
    </w:p>
    <w:p>
      <w:pPr>
        <w:pStyle w:val="ListBullet"/>
      </w:pPr>
      <w:r>
        <w:t>evidence: string[] — ссылки на Zulip-топики, испытания</w:t>
      </w:r>
    </w:p>
    <w:p>
      <w:pPr>
        <w:pStyle w:val="ListBullet"/>
      </w:pPr>
      <w:r>
        <w:t>weight: number — вес в W-матрице</w:t>
      </w:r>
    </w:p>
    <w:p>
      <w:pPr>
        <w:pStyle w:val="ListBullet"/>
      </w:pPr>
      <w:r>
        <w:t>status: active|superseded</w:t>
      </w:r>
    </w:p>
    <w:p>
      <w:pPr>
        <w:spacing w:after="120"/>
      </w:pPr>
    </w:p>
    <w:p>
      <w:pPr>
        <w:spacing w:after="120"/>
      </w:pPr>
      <w:r>
        <w:t>Типы связей (Link Types):</w:t>
      </w:r>
    </w:p>
    <w:p>
      <w:pPr>
        <w:pStyle w:val="ListBullet"/>
      </w:pPr>
      <w:r>
        <w:t>depends_on — решение зависит от другого</w:t>
      </w:r>
    </w:p>
    <w:p>
      <w:pPr>
        <w:pStyle w:val="ListBullet"/>
      </w:pPr>
      <w:r>
        <w:t>conflicts_with — решения конфликтуют</w:t>
      </w:r>
    </w:p>
    <w:p>
      <w:pPr>
        <w:pStyle w:val="ListBullet"/>
      </w:pPr>
      <w:r>
        <w:t>supersedes — заменяет устаревшее решение</w:t>
      </w:r>
    </w:p>
    <w:p>
      <w:pPr>
        <w:pStyle w:val="ListBullet"/>
      </w:pPr>
      <w:r>
        <w:t>compatible_with — решения совместимы</w:t>
      </w:r>
    </w:p>
    <w:p>
      <w:pPr>
        <w:pStyle w:val="ListBullet"/>
      </w:pPr>
      <w:r>
        <w:t>informs — решение информирует другое (без жёсткой зависимости)</w:t>
      </w:r>
    </w:p>
    <w:p>
      <w:pPr>
        <w:spacing w:after="120"/>
      </w:pPr>
    </w:p>
    <w:p>
      <w:pPr>
        <w:spacing w:after="120"/>
      </w:pPr>
      <w:r>
        <w:t>API:</w:t>
      </w:r>
    </w:p>
    <w:p>
      <w:pPr>
        <w:pStyle w:val="ListBullet"/>
      </w:pPr>
      <w:r>
        <w:t>GET /api/reg/anamnesis?query=&amp;domain=&amp;project= — анамнезис</w:t>
      </w:r>
    </w:p>
    <w:p>
      <w:pPr>
        <w:pStyle w:val="ListBullet"/>
      </w:pPr>
      <w:r>
        <w:t>GET /api/reg/decisions?domain= — все решения в домене</w:t>
      </w:r>
    </w:p>
    <w:p>
      <w:pPr>
        <w:pStyle w:val="ListBullet"/>
      </w:pPr>
      <w:r>
        <w:t>GET /api/reg/stats — статистика</w:t>
      </w:r>
    </w:p>
    <w:p>
      <w:pPr>
        <w:pStyle w:val="ListBullet"/>
      </w:pPr>
      <w:r>
        <w:t>GET /api/reg/compat?teamA=&amp;teamB= — совместимость команд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