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0359" w:rsidRPr="00185149" w:rsidRDefault="00000000">
      <w:pPr>
        <w:jc w:val="center"/>
        <w:rPr>
          <w:rFonts w:ascii="Times New Roman" w:hAnsi="Times New Roman" w:cs="Times New Roman"/>
          <w:sz w:val="24"/>
          <w:szCs w:val="24"/>
          <w:u w:val="single"/>
        </w:rPr>
      </w:pPr>
      <w:r w:rsidRPr="00185149">
        <w:rPr>
          <w:rFonts w:ascii="Times New Roman" w:hAnsi="Times New Roman" w:cs="Times New Roman"/>
          <w:b/>
          <w:sz w:val="72"/>
          <w:szCs w:val="72"/>
          <w:u w:val="single"/>
        </w:rPr>
        <w:t>SUSHANT SINGH</w:t>
      </w:r>
    </w:p>
    <w:p w:rsidR="00D70359" w:rsidRPr="00185149" w:rsidRDefault="00000000">
      <w:pPr>
        <w:jc w:val="center"/>
        <w:rPr>
          <w:rFonts w:ascii="Times New Roman" w:hAnsi="Times New Roman" w:cs="Times New Roman"/>
          <w:sz w:val="24"/>
          <w:szCs w:val="24"/>
        </w:rPr>
      </w:pPr>
      <w:r w:rsidRPr="00185149">
        <w:rPr>
          <w:rFonts w:ascii="Times New Roman" w:hAnsi="Times New Roman" w:cs="Times New Roman"/>
          <w:b/>
          <w:sz w:val="24"/>
          <w:szCs w:val="24"/>
        </w:rPr>
        <w:t>ADVOCATE | LITIGATION &amp; ARBITRATION COUNSEL</w:t>
      </w:r>
    </w:p>
    <w:p w:rsidR="00D70359" w:rsidRPr="00185149" w:rsidRDefault="00000000">
      <w:pPr>
        <w:jc w:val="center"/>
        <w:rPr>
          <w:rFonts w:ascii="Times New Roman" w:hAnsi="Times New Roman" w:cs="Times New Roman"/>
          <w:sz w:val="24"/>
          <w:szCs w:val="24"/>
        </w:rPr>
      </w:pPr>
      <w:r w:rsidRPr="00185149">
        <w:rPr>
          <w:rFonts w:ascii="Times New Roman" w:hAnsi="Times New Roman" w:cs="Times New Roman"/>
          <w:sz w:val="24"/>
          <w:szCs w:val="24"/>
        </w:rPr>
        <w:t xml:space="preserve">SUPREME COURT OF </w:t>
      </w:r>
      <w:proofErr w:type="gramStart"/>
      <w:r w:rsidRPr="00185149">
        <w:rPr>
          <w:rFonts w:ascii="Times New Roman" w:hAnsi="Times New Roman" w:cs="Times New Roman"/>
          <w:sz w:val="24"/>
          <w:szCs w:val="24"/>
        </w:rPr>
        <w:t>INDIA  •</w:t>
      </w:r>
      <w:proofErr w:type="gramEnd"/>
      <w:r w:rsidRPr="00185149">
        <w:rPr>
          <w:rFonts w:ascii="Times New Roman" w:hAnsi="Times New Roman" w:cs="Times New Roman"/>
          <w:sz w:val="24"/>
          <w:szCs w:val="24"/>
        </w:rPr>
        <w:t xml:space="preserve">  DELHI HIGH COURT  •  DISTRICT COURTS  •  TRIBUNALS</w:t>
      </w:r>
    </w:p>
    <w:p w:rsidR="00D70359" w:rsidRPr="00185149" w:rsidRDefault="00000000">
      <w:pPr>
        <w:jc w:val="center"/>
        <w:rPr>
          <w:rFonts w:ascii="Times New Roman" w:hAnsi="Times New Roman" w:cs="Times New Roman"/>
          <w:sz w:val="24"/>
          <w:szCs w:val="24"/>
        </w:rPr>
      </w:pPr>
      <w:r w:rsidRPr="00185149">
        <w:rPr>
          <w:rFonts w:ascii="Times New Roman" w:hAnsi="Times New Roman" w:cs="Times New Roman"/>
          <w:b/>
          <w:sz w:val="24"/>
          <w:szCs w:val="24"/>
        </w:rPr>
        <w:t>A DECADE OF LEGAL PRACTICE</w:t>
      </w:r>
    </w:p>
    <w:p w:rsidR="00D70359" w:rsidRPr="00185149" w:rsidRDefault="00000000">
      <w:pPr>
        <w:spacing w:before="140" w:after="60"/>
        <w:rPr>
          <w:rFonts w:ascii="Times New Roman" w:hAnsi="Times New Roman" w:cs="Times New Roman"/>
          <w:sz w:val="24"/>
          <w:szCs w:val="24"/>
        </w:rPr>
      </w:pPr>
      <w:r w:rsidRPr="00185149">
        <w:rPr>
          <w:rFonts w:ascii="Times New Roman" w:hAnsi="Times New Roman" w:cs="Times New Roman"/>
          <w:b/>
          <w:sz w:val="24"/>
          <w:szCs w:val="24"/>
        </w:rPr>
        <w:t>PROFESSIONAL PROFILE</w:t>
      </w:r>
    </w:p>
    <w:p w:rsidR="00D70359" w:rsidRPr="00185149" w:rsidRDefault="00000000" w:rsidP="00185149">
      <w:pPr>
        <w:jc w:val="both"/>
        <w:rPr>
          <w:rFonts w:ascii="Times New Roman" w:hAnsi="Times New Roman" w:cs="Times New Roman"/>
          <w:sz w:val="24"/>
          <w:szCs w:val="24"/>
        </w:rPr>
      </w:pPr>
      <w:r w:rsidRPr="00185149">
        <w:rPr>
          <w:rFonts w:ascii="Times New Roman" w:hAnsi="Times New Roman" w:cs="Times New Roman"/>
          <w:sz w:val="24"/>
          <w:szCs w:val="24"/>
        </w:rPr>
        <w:t>Sushant Singh is a litigation and arbitration counsel with a decade of professional legal practice, appearing before the Supreme Court of India, Delhi High Court, District Courts and specialised tribunals. His practice spans constitutional and public law, civil and commercial litigation, property and recovery matters, contractual disputes, education law, service law, land acquisition, infrastructure disputes, criminal proceedings and arbitration.</w:t>
      </w:r>
    </w:p>
    <w:p w:rsidR="00D70359" w:rsidRPr="00185149" w:rsidRDefault="00000000" w:rsidP="00185149">
      <w:pPr>
        <w:jc w:val="both"/>
        <w:rPr>
          <w:rFonts w:ascii="Times New Roman" w:hAnsi="Times New Roman" w:cs="Times New Roman"/>
          <w:sz w:val="24"/>
          <w:szCs w:val="24"/>
        </w:rPr>
      </w:pPr>
      <w:r w:rsidRPr="00185149">
        <w:rPr>
          <w:rFonts w:ascii="Times New Roman" w:hAnsi="Times New Roman" w:cs="Times New Roman"/>
          <w:sz w:val="24"/>
          <w:szCs w:val="24"/>
        </w:rPr>
        <w:t>His practice combines courtroom advocacy with rigorous legal research, strategic case preparation and precise drafting. He advises and represents individuals, public authorities, institutions and other stakeholders in complex and contested matters involving statutory powers, government action, contractual obligations, property rights, compensation and public law remedies.</w:t>
      </w:r>
    </w:p>
    <w:p w:rsidR="00D70359" w:rsidRPr="00185149" w:rsidRDefault="00000000" w:rsidP="00185149">
      <w:pPr>
        <w:spacing w:before="140" w:after="60"/>
        <w:jc w:val="both"/>
        <w:rPr>
          <w:rFonts w:ascii="Times New Roman" w:hAnsi="Times New Roman" w:cs="Times New Roman"/>
          <w:sz w:val="24"/>
          <w:szCs w:val="24"/>
        </w:rPr>
      </w:pPr>
      <w:r w:rsidRPr="00185149">
        <w:rPr>
          <w:rFonts w:ascii="Times New Roman" w:hAnsi="Times New Roman" w:cs="Times New Roman"/>
          <w:b/>
          <w:sz w:val="24"/>
          <w:szCs w:val="24"/>
        </w:rPr>
        <w:t>PROFESSIONAL STANDING</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Panel-A Counsel, Union of India, Supreme Court of India.</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Senior Panel Counsel, Union of India, Central Administrative Tribunal.</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Panel Counsel, Municipal Corporation of Delhi, Delhi High Court.</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Independent Counsel before the Supreme Court of India and Delhi High Court.</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Regular practice before District Courts in Delhi-NCR, CAT, NGT, DRT and Arbitration Tribunals.</w:t>
      </w:r>
    </w:p>
    <w:p w:rsidR="00D70359" w:rsidRPr="00185149" w:rsidRDefault="00000000" w:rsidP="00185149">
      <w:pPr>
        <w:spacing w:before="140" w:after="60"/>
        <w:jc w:val="both"/>
        <w:rPr>
          <w:rFonts w:ascii="Times New Roman" w:hAnsi="Times New Roman" w:cs="Times New Roman"/>
          <w:sz w:val="24"/>
          <w:szCs w:val="24"/>
        </w:rPr>
      </w:pPr>
      <w:r w:rsidRPr="00185149">
        <w:rPr>
          <w:rFonts w:ascii="Times New Roman" w:hAnsi="Times New Roman" w:cs="Times New Roman"/>
          <w:b/>
          <w:sz w:val="24"/>
          <w:szCs w:val="24"/>
        </w:rPr>
        <w:t>CORE PRACTICE AREAS</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Constitutional &amp; Public Law — </w:t>
      </w:r>
      <w:r w:rsidRPr="00185149">
        <w:rPr>
          <w:rFonts w:ascii="Times New Roman" w:hAnsi="Times New Roman" w:cs="Times New Roman"/>
          <w:sz w:val="24"/>
          <w:szCs w:val="24"/>
        </w:rPr>
        <w:t>Constitutional litigation, writ petitions, statutory challenges, governmental action and public law remedies.</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Civil &amp; Commercial Litigation — </w:t>
      </w:r>
      <w:r w:rsidRPr="00185149">
        <w:rPr>
          <w:rFonts w:ascii="Times New Roman" w:hAnsi="Times New Roman" w:cs="Times New Roman"/>
          <w:sz w:val="24"/>
          <w:szCs w:val="24"/>
        </w:rPr>
        <w:t>Civil suits, recovery claims, injunctions, declarations, property disputes, contractual enforcement and commercial disputes.</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Arbitration &amp; Contractual Disputes — </w:t>
      </w:r>
      <w:r w:rsidRPr="00185149">
        <w:rPr>
          <w:rFonts w:ascii="Times New Roman" w:hAnsi="Times New Roman" w:cs="Times New Roman"/>
          <w:sz w:val="24"/>
          <w:szCs w:val="24"/>
        </w:rPr>
        <w:t>Arbitral proceedings and court proceedings under the Arbitration and Conciliation Act, including Sections 9, 11 and 34.</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Property &amp; Real Estate Disputes — </w:t>
      </w:r>
      <w:r w:rsidRPr="00185149">
        <w:rPr>
          <w:rFonts w:ascii="Times New Roman" w:hAnsi="Times New Roman" w:cs="Times New Roman"/>
          <w:sz w:val="24"/>
          <w:szCs w:val="24"/>
        </w:rPr>
        <w:t>Property rights, landlord–tenant disputes, possession, recovery, injunctions and related civil proceedings.</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Land Acquisition &amp; Compensation — </w:t>
      </w:r>
      <w:r w:rsidRPr="00185149">
        <w:rPr>
          <w:rFonts w:ascii="Times New Roman" w:hAnsi="Times New Roman" w:cs="Times New Roman"/>
          <w:sz w:val="24"/>
          <w:szCs w:val="24"/>
        </w:rPr>
        <w:t>Acquisition disputes, compensation claims, reference proceedings and acquisition-related litigation.</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Infrastructure Disputes — </w:t>
      </w:r>
      <w:r w:rsidRPr="00185149">
        <w:rPr>
          <w:rFonts w:ascii="Times New Roman" w:hAnsi="Times New Roman" w:cs="Times New Roman"/>
          <w:sz w:val="24"/>
          <w:szCs w:val="24"/>
        </w:rPr>
        <w:t>Construction and infrastructure contracts, delay claims, escalation, compensation and disputes involving public works.</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lastRenderedPageBreak/>
        <w:t xml:space="preserve">Education Law &amp; Human Rights — </w:t>
      </w:r>
      <w:r w:rsidRPr="00185149">
        <w:rPr>
          <w:rFonts w:ascii="Times New Roman" w:hAnsi="Times New Roman" w:cs="Times New Roman"/>
          <w:sz w:val="24"/>
          <w:szCs w:val="24"/>
        </w:rPr>
        <w:t>Student rights, scholarships, admissions, access to education and constitutional/human-rights issues.</w:t>
      </w:r>
    </w:p>
    <w:p w:rsidR="00D70359" w:rsidRPr="00185149" w:rsidRDefault="00000000" w:rsidP="00185149">
      <w:pPr>
        <w:spacing w:after="40"/>
        <w:jc w:val="both"/>
        <w:rPr>
          <w:rFonts w:ascii="Times New Roman" w:hAnsi="Times New Roman" w:cs="Times New Roman"/>
          <w:sz w:val="24"/>
          <w:szCs w:val="24"/>
        </w:rPr>
      </w:pPr>
      <w:r w:rsidRPr="00185149">
        <w:rPr>
          <w:rFonts w:ascii="Times New Roman" w:hAnsi="Times New Roman" w:cs="Times New Roman"/>
          <w:b/>
          <w:sz w:val="24"/>
          <w:szCs w:val="24"/>
        </w:rPr>
        <w:t xml:space="preserve">Service &amp; Administrative Law — </w:t>
      </w:r>
      <w:r w:rsidRPr="00185149">
        <w:rPr>
          <w:rFonts w:ascii="Times New Roman" w:hAnsi="Times New Roman" w:cs="Times New Roman"/>
          <w:sz w:val="24"/>
          <w:szCs w:val="24"/>
        </w:rPr>
        <w:t>Service conditions, disciplinary matters, pension/retiral claims and proceedings before courts and tribunals.</w:t>
      </w:r>
    </w:p>
    <w:p w:rsidR="00D70359" w:rsidRPr="00185149" w:rsidRDefault="00000000" w:rsidP="00185149">
      <w:pPr>
        <w:spacing w:before="140" w:after="60"/>
        <w:jc w:val="both"/>
        <w:rPr>
          <w:rFonts w:ascii="Times New Roman" w:hAnsi="Times New Roman" w:cs="Times New Roman"/>
          <w:sz w:val="24"/>
          <w:szCs w:val="24"/>
        </w:rPr>
      </w:pPr>
      <w:r w:rsidRPr="00185149">
        <w:rPr>
          <w:rFonts w:ascii="Times New Roman" w:hAnsi="Times New Roman" w:cs="Times New Roman"/>
          <w:b/>
          <w:sz w:val="24"/>
          <w:szCs w:val="24"/>
        </w:rPr>
        <w:t>LITIGATION &amp; ADVISORY EXPERIENCE</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Drafting and arguing civil suits, writ petitions, appeals, applications, written submissions, legal notices and legal opinions.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Representation in contested proceedings involving public authorities, statutory bodies, institutions and private parties.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Experience in contractual interpretation, enforcement, dispute strategy and litigation management.</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Assisted in matters involving NHAI, Railways, Public Works Departments and other public authorities.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Experience in arbitral proceedings, preparation of written arguments and work relating to arbitral awards.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Advisory work concerning EPC agreements, consultancy MoUs, land acquisition clearances and contractual compliance.</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Strategic litigation support from pre-litigation assessment through pleadings, interim relief, final arguments and appellate proceedings.</w:t>
      </w:r>
    </w:p>
    <w:p w:rsidR="00D70359" w:rsidRPr="00185149" w:rsidRDefault="00000000" w:rsidP="00185149">
      <w:pPr>
        <w:spacing w:before="140" w:after="60"/>
        <w:jc w:val="both"/>
        <w:rPr>
          <w:rFonts w:ascii="Times New Roman" w:hAnsi="Times New Roman" w:cs="Times New Roman"/>
          <w:sz w:val="24"/>
          <w:szCs w:val="24"/>
        </w:rPr>
      </w:pPr>
      <w:r w:rsidRPr="00185149">
        <w:rPr>
          <w:rFonts w:ascii="Times New Roman" w:hAnsi="Times New Roman" w:cs="Times New Roman"/>
          <w:b/>
          <w:sz w:val="24"/>
          <w:szCs w:val="24"/>
        </w:rPr>
        <w:t>REPRESENTATIVE PROFESSIONAL ENGAGEMENTS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Representing the Municipal Corporation of Delhi in proceedings before the Delhi High Court, including writ and civil appellate matters.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Representing the Union of India in proceedings before the Supreme Court of India and Central Administrative Tribunal.</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Representation in land acquisition and compensation disputes, including claims concerning enhanced compensation.</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Representation of students and scholars in matters concerning scholarships, admissions and access to higher education.</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Pro bono legal assistance in property, land acquisition and compensation disputes affecting individuals and marginalised communities.</w:t>
      </w:r>
    </w:p>
    <w:p w:rsidR="00D70359" w:rsidRPr="00185149" w:rsidRDefault="00000000" w:rsidP="00185149">
      <w:pPr>
        <w:spacing w:before="140" w:after="60"/>
        <w:jc w:val="both"/>
        <w:rPr>
          <w:rFonts w:ascii="Times New Roman" w:hAnsi="Times New Roman" w:cs="Times New Roman"/>
          <w:sz w:val="24"/>
          <w:szCs w:val="24"/>
        </w:rPr>
      </w:pPr>
      <w:r w:rsidRPr="00185149">
        <w:rPr>
          <w:rFonts w:ascii="Times New Roman" w:hAnsi="Times New Roman" w:cs="Times New Roman"/>
          <w:b/>
          <w:sz w:val="24"/>
          <w:szCs w:val="24"/>
        </w:rPr>
        <w:t>PROFESSIONAL EXPERIENCE</w:t>
      </w:r>
    </w:p>
    <w:p w:rsidR="00D70359" w:rsidRPr="00185149" w:rsidRDefault="00000000" w:rsidP="00185149">
      <w:pPr>
        <w:jc w:val="both"/>
        <w:rPr>
          <w:rFonts w:ascii="Times New Roman" w:hAnsi="Times New Roman" w:cs="Times New Roman"/>
          <w:sz w:val="24"/>
          <w:szCs w:val="24"/>
        </w:rPr>
      </w:pPr>
      <w:r w:rsidRPr="00185149">
        <w:rPr>
          <w:rFonts w:ascii="Times New Roman" w:hAnsi="Times New Roman" w:cs="Times New Roman"/>
          <w:b/>
          <w:sz w:val="24"/>
          <w:szCs w:val="24"/>
        </w:rPr>
        <w:t>2017 – Present | Advocate &amp; Independent Counsel</w:t>
      </w:r>
    </w:p>
    <w:p w:rsidR="00D70359" w:rsidRPr="00185149" w:rsidRDefault="00000000" w:rsidP="00185149">
      <w:pPr>
        <w:jc w:val="both"/>
        <w:rPr>
          <w:rFonts w:ascii="Times New Roman" w:hAnsi="Times New Roman" w:cs="Times New Roman"/>
          <w:sz w:val="24"/>
          <w:szCs w:val="24"/>
        </w:rPr>
      </w:pPr>
      <w:r w:rsidRPr="00185149">
        <w:rPr>
          <w:rFonts w:ascii="Times New Roman" w:hAnsi="Times New Roman" w:cs="Times New Roman"/>
          <w:sz w:val="24"/>
          <w:szCs w:val="24"/>
        </w:rPr>
        <w:t>Active litigation practice before the Supreme Court of India, Delhi High Court, District Courts and Tribunals, with extensive exposure to civil, constitutional, contractual, infrastructure, land acquisition, service, education and arbitration matters.</w:t>
      </w:r>
    </w:p>
    <w:p w:rsidR="00D70359" w:rsidRPr="00185149" w:rsidRDefault="00000000" w:rsidP="00185149">
      <w:pPr>
        <w:jc w:val="both"/>
        <w:rPr>
          <w:rFonts w:ascii="Times New Roman" w:hAnsi="Times New Roman" w:cs="Times New Roman"/>
          <w:sz w:val="24"/>
          <w:szCs w:val="24"/>
        </w:rPr>
      </w:pPr>
      <w:r w:rsidRPr="00185149">
        <w:rPr>
          <w:rFonts w:ascii="Times New Roman" w:hAnsi="Times New Roman" w:cs="Times New Roman"/>
          <w:b/>
          <w:sz w:val="24"/>
          <w:szCs w:val="24"/>
        </w:rPr>
        <w:t>July 2017 – September 2019 | Associate Lawyer, Chambers of Mr. Neeraj Dahiya, New Delhi</w:t>
      </w:r>
    </w:p>
    <w:p w:rsidR="00D70359" w:rsidRPr="00185149" w:rsidRDefault="00000000" w:rsidP="00185149">
      <w:pPr>
        <w:spacing w:before="140" w:after="60"/>
        <w:jc w:val="both"/>
        <w:rPr>
          <w:rFonts w:ascii="Times New Roman" w:hAnsi="Times New Roman" w:cs="Times New Roman"/>
          <w:sz w:val="24"/>
          <w:szCs w:val="24"/>
        </w:rPr>
      </w:pPr>
      <w:r w:rsidRPr="00185149">
        <w:rPr>
          <w:rFonts w:ascii="Times New Roman" w:hAnsi="Times New Roman" w:cs="Times New Roman"/>
          <w:b/>
          <w:sz w:val="24"/>
          <w:szCs w:val="24"/>
        </w:rPr>
        <w:t>ACADEMIC QUALIFICATIONS</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lastRenderedPageBreak/>
        <w:t>LL.M. — SOAS, University of London (Master of Laws), with academic focus on Human Rights, Conflict and Justice.</w:t>
      </w:r>
    </w:p>
    <w:p w:rsidR="00D70359" w:rsidRPr="00185149" w:rsidRDefault="00000000" w:rsidP="00185149">
      <w:pPr>
        <w:pStyle w:val="ListBullet"/>
        <w:spacing w:after="30"/>
        <w:jc w:val="both"/>
        <w:rPr>
          <w:rFonts w:ascii="Times New Roman" w:hAnsi="Times New Roman" w:cs="Times New Roman"/>
          <w:sz w:val="24"/>
          <w:szCs w:val="24"/>
        </w:rPr>
      </w:pPr>
      <w:r w:rsidRPr="00185149">
        <w:rPr>
          <w:rFonts w:ascii="Times New Roman" w:hAnsi="Times New Roman" w:cs="Times New Roman"/>
          <w:sz w:val="24"/>
          <w:szCs w:val="24"/>
        </w:rPr>
        <w:t>B.A. LL.B. (Hons.) — National Law University Delhi.</w:t>
      </w:r>
    </w:p>
    <w:p w:rsidR="00D70359" w:rsidRPr="00185149" w:rsidRDefault="00000000">
      <w:pPr>
        <w:spacing w:before="140" w:after="60"/>
        <w:rPr>
          <w:rFonts w:ascii="Times New Roman" w:hAnsi="Times New Roman" w:cs="Times New Roman"/>
          <w:sz w:val="24"/>
          <w:szCs w:val="24"/>
        </w:rPr>
      </w:pPr>
      <w:r w:rsidRPr="00185149">
        <w:rPr>
          <w:rFonts w:ascii="Times New Roman" w:hAnsi="Times New Roman" w:cs="Times New Roman"/>
          <w:b/>
          <w:sz w:val="24"/>
          <w:szCs w:val="24"/>
        </w:rPr>
        <w:t>PROFESSIONAL APPROACH</w:t>
      </w:r>
    </w:p>
    <w:p w:rsidR="00D70359" w:rsidRPr="00185149" w:rsidRDefault="00000000" w:rsidP="00185149">
      <w:pPr>
        <w:jc w:val="both"/>
        <w:rPr>
          <w:rFonts w:ascii="Times New Roman" w:hAnsi="Times New Roman" w:cs="Times New Roman"/>
          <w:sz w:val="24"/>
          <w:szCs w:val="24"/>
        </w:rPr>
      </w:pPr>
      <w:r w:rsidRPr="00185149">
        <w:rPr>
          <w:rFonts w:ascii="Times New Roman" w:hAnsi="Times New Roman" w:cs="Times New Roman"/>
          <w:sz w:val="24"/>
          <w:szCs w:val="24"/>
        </w:rPr>
        <w:t>A litigation-first approach grounded in rigorous legal research, strong drafting, strategic case assessment and effective courtroom advocacy. The practice is focused on identifying decisive legal issues, developing sustainable litigation strategy and pursuing effective remedies while maintaining high standards of professional ethics, confidentiality and client service.</w:t>
      </w:r>
    </w:p>
    <w:sectPr w:rsidR="00D70359" w:rsidRPr="0018514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3646" w:rsidRDefault="00133646">
      <w:pPr>
        <w:spacing w:after="0" w:line="240" w:lineRule="auto"/>
        <w:rPr>
          <w:rFonts w:hint="eastAsia"/>
        </w:rPr>
      </w:pPr>
      <w:r>
        <w:separator/>
      </w:r>
    </w:p>
  </w:endnote>
  <w:endnote w:type="continuationSeparator" w:id="0">
    <w:p w:rsidR="00133646" w:rsidRDefault="001336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5149" w:rsidRPr="00185149" w:rsidRDefault="00000000" w:rsidP="00185149">
    <w:pPr>
      <w:pStyle w:val="Footer"/>
      <w:jc w:val="center"/>
      <w:rPr>
        <w:rFonts w:hint="eastAsia"/>
        <w:sz w:val="16"/>
        <w:szCs w:val="16"/>
      </w:rPr>
    </w:pPr>
    <w:r w:rsidRPr="00185149">
      <w:rPr>
        <w:sz w:val="16"/>
        <w:szCs w:val="16"/>
      </w:rPr>
      <w:t>Sushant Singh | Advocate | Supreme Court of India • Delhi High Court</w:t>
    </w:r>
    <w:r w:rsidR="00185149" w:rsidRPr="00185149">
      <w:rPr>
        <w:sz w:val="16"/>
        <w:szCs w:val="16"/>
      </w:rPr>
      <w:br/>
    </w:r>
    <w:r w:rsidR="00185149" w:rsidRPr="00185149">
      <w:rPr>
        <w:sz w:val="16"/>
        <w:szCs w:val="16"/>
      </w:rPr>
      <w:t>Chamber No. 124, Lawyers’ Chamber–I, Delhi High Court</w:t>
    </w:r>
    <w:r w:rsidR="00185149" w:rsidRPr="00185149">
      <w:rPr>
        <w:sz w:val="16"/>
        <w:szCs w:val="16"/>
      </w:rPr>
      <w:br/>
      <w:t xml:space="preserve">Mobile: +91 </w:t>
    </w:r>
    <w:proofErr w:type="gramStart"/>
    <w:r w:rsidR="00185149" w:rsidRPr="00185149">
      <w:rPr>
        <w:sz w:val="16"/>
        <w:szCs w:val="16"/>
      </w:rPr>
      <w:t>8448446004  |</w:t>
    </w:r>
    <w:proofErr w:type="gramEnd"/>
    <w:r w:rsidR="00185149" w:rsidRPr="00185149">
      <w:rPr>
        <w:sz w:val="16"/>
        <w:szCs w:val="16"/>
      </w:rPr>
      <w:t xml:space="preserve">  Email: Office.advsushant@gmail.com</w:t>
    </w:r>
  </w:p>
  <w:p w:rsidR="00D70359" w:rsidRDefault="00D7035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3646" w:rsidRDefault="00133646">
      <w:pPr>
        <w:spacing w:after="0" w:line="240" w:lineRule="auto"/>
        <w:rPr>
          <w:rFonts w:hint="eastAsia"/>
        </w:rPr>
      </w:pPr>
      <w:r>
        <w:separator/>
      </w:r>
    </w:p>
  </w:footnote>
  <w:footnote w:type="continuationSeparator" w:id="0">
    <w:p w:rsidR="00133646" w:rsidRDefault="001336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359010">
    <w:abstractNumId w:val="8"/>
  </w:num>
  <w:num w:numId="2" w16cid:durableId="1592205232">
    <w:abstractNumId w:val="6"/>
  </w:num>
  <w:num w:numId="3" w16cid:durableId="764612561">
    <w:abstractNumId w:val="5"/>
  </w:num>
  <w:num w:numId="4" w16cid:durableId="1047072218">
    <w:abstractNumId w:val="4"/>
  </w:num>
  <w:num w:numId="5" w16cid:durableId="1518738310">
    <w:abstractNumId w:val="7"/>
  </w:num>
  <w:num w:numId="6" w16cid:durableId="845705005">
    <w:abstractNumId w:val="3"/>
  </w:num>
  <w:num w:numId="7" w16cid:durableId="368381900">
    <w:abstractNumId w:val="2"/>
  </w:num>
  <w:num w:numId="8" w16cid:durableId="1608854745">
    <w:abstractNumId w:val="1"/>
  </w:num>
  <w:num w:numId="9" w16cid:durableId="181987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646"/>
    <w:rsid w:val="0015074B"/>
    <w:rsid w:val="00185149"/>
    <w:rsid w:val="0029639D"/>
    <w:rsid w:val="00326F90"/>
    <w:rsid w:val="00AA1D8D"/>
    <w:rsid w:val="00B47730"/>
    <w:rsid w:val="00CB0664"/>
    <w:rsid w:val="00D70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B9DC3"/>
  <w14:defaultImageDpi w14:val="300"/>
  <w15:docId w15:val="{3A1E032C-5628-7F49-9EAC-68A0D044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 Singh</cp:lastModifiedBy>
  <cp:revision>2</cp:revision>
  <dcterms:created xsi:type="dcterms:W3CDTF">2013-12-23T23:15:00Z</dcterms:created>
  <dcterms:modified xsi:type="dcterms:W3CDTF">2026-08-29T12:19:00Z</dcterms:modified>
  <cp:category/>
</cp:coreProperties>
</file>