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neral-introduction"/>
    <w:p>
      <w:pPr>
        <w:pStyle w:val="Heading1"/>
      </w:pPr>
      <w:r>
        <w:t xml:space="preserve">1. General Introduction</w:t>
      </w:r>
    </w:p>
    <w:bookmarkEnd w:id="20"/>
    <w:bookmarkStart w:id="32" w:name="X92f8f293550013f6874755e4a2c5a6cb3b613b7"/>
    <w:p>
      <w:pPr>
        <w:pStyle w:val="Heading1"/>
      </w:pPr>
      <w:r>
        <w:t xml:space="preserve">2. Exercise I: Deep-time Earth Reconstruction</w:t>
      </w:r>
    </w:p>
    <w:bookmarkStart w:id="21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1"/>
    <w:bookmarkStart w:id="22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2"/>
    <w:bookmarkStart w:id="26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23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23"/>
    <w:bookmarkStart w:id="24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24"/>
    <w:bookmarkStart w:id="25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25"/>
    <w:bookmarkEnd w:id="26"/>
    <w:bookmarkStart w:id="30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27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FirstParagraph"/>
      </w:pPr>
      <w:r>
        <w:t xml:space="preserve">What assumptions did you make when defining land vs. ocean?</w:t>
      </w:r>
    </w:p>
    <w:p>
      <w:pPr>
        <w:pStyle w:val="BodyText"/>
      </w:pPr>
      <w:r>
        <w:t xml:space="preserve">How does using pixel counts vs. area-aware calculations affect your results?</w:t>
      </w:r>
    </w:p>
    <w:p>
      <w:pPr>
        <w:pStyle w:val="BodyText"/>
      </w:pPr>
      <w:r>
        <w:t xml:space="preserve">What patterns do you see in land fraction across the Phanerozoic? Any surprises?</w:t>
      </w:r>
    </w:p>
    <w:bookmarkEnd w:id="27"/>
    <w:bookmarkStart w:id="28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FirstParagraph"/>
      </w:pPr>
      <w:r>
        <w:t xml:space="preserve">How do crustal and lithospheric thickness trends relate to supercontinent cycles?</w:t>
      </w:r>
    </w:p>
    <w:p>
      <w:pPr>
        <w:pStyle w:val="BodyText"/>
      </w:pPr>
      <w:r>
        <w:t xml:space="preserve">Is the relationship between seafloor age and lithospheric thickness what you would expect theoretically?</w:t>
      </w:r>
    </w:p>
    <w:p>
      <w:pPr>
        <w:pStyle w:val="BodyText"/>
      </w:pPr>
      <w:r>
        <w:t xml:space="preserve">What assumptions did you make about data interpretation and resolution?</w:t>
      </w:r>
    </w:p>
    <w:p>
      <w:pPr>
        <w:pStyle w:val="BodyText"/>
      </w:pPr>
      <w:r>
        <w:t xml:space="preserve">What uncertainties exist in these reconstructions?</w:t>
      </w:r>
    </w:p>
    <w:bookmarkEnd w:id="28"/>
    <w:bookmarkStart w:id="29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FirstParagraph"/>
      </w:pPr>
      <w:r>
        <w:t xml:space="preserve">The climate grid has a resolution of ~5.6°. How does this affect the reliability of the Köppen-Geiger classification, particularly near coastlines or mountain ranges?</w:t>
      </w:r>
    </w:p>
    <w:p>
      <w:pPr>
        <w:pStyle w:val="BodyText"/>
      </w:pPr>
      <w:r>
        <w:t xml:space="preserve">The land mask is derived from elevation data (≥ 0 m = land). What are the limitations of this approach for defining land vs. ocean?</w:t>
      </w:r>
    </w:p>
    <w:p>
      <w:pPr>
        <w:pStyle w:val="BodyText"/>
      </w:pPr>
      <w:r>
        <w:t xml:space="preserve">We used a simplified aridity threshold for group B climates. How might results differ if you used the full seasonality-dependent formula?</w:t>
      </w:r>
    </w:p>
    <w:p>
      <w:pPr>
        <w:pStyle w:val="BodyText"/>
      </w:pPr>
      <w:r>
        <w:t xml:space="preserve">How would you expect the Köppen-Geiger map to change between 0 Ma and 100 Ma? What geological or astronomical factors might explain the differences?</w:t>
      </w:r>
    </w:p>
    <w:bookmarkEnd w:id="29"/>
    <w:bookmarkEnd w:id="30"/>
    <w:bookmarkStart w:id="31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1"/>
    <w:bookmarkEnd w:id="32"/>
    <w:bookmarkStart w:id="38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33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33"/>
    <w:bookmarkStart w:id="34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34"/>
    <w:bookmarkStart w:id="35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35"/>
    <w:bookmarkStart w:id="36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BodyText"/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BodyText"/>
      </w:pPr>
      <w:r>
        <w:t xml:space="preserve">Data Resolution: How does the 25m pixel size affect the precision of the slope calculation and the resulting hazard boundaries?</w:t>
      </w:r>
    </w:p>
    <w:p>
      <w:pPr>
        <w:pStyle w:val="BodyText"/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bookmarkEnd w:id="36"/>
    <w:bookmarkStart w:id="37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7"/>
    <w:bookmarkEnd w:id="38"/>
    <w:bookmarkStart w:id="39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2026-03-17T11:16:42Z</dcterms:created>
  <dcterms:modified xsi:type="dcterms:W3CDTF">2026-03-17T11:16:42Z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Report</vt:lpwstr>
  </property>
  <property fmtid="{D5CDD505-2E9C-101B-9397-08002B2CF9AE}" pid="8" name="toc-title">
    <vt:lpwstr>Table of contents</vt:lpwstr>
  </property>
</Properties>
</file>