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Введение.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Рабочая программа разработана на основе  авторской программы по курсу «Основы безопасности жизнедеятельности» для 10–11 классов общеобразовательных учреждений (авторы программы – А. Т. Смирнов, Б. О. Хренников, М. А. Маслов, В. А. Васнев), напечатанной в сборнике «Программы общеобразовательных учреждений. Основы безопасности. 1–11 классы» / под общ. ред. А. Т. Смирнова. – М.: Просвещение, 2007, и в соответствии  с федеральным компонентом  Государственного стандарта среднего (полного) общего образования.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Цели программы: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подготовка обучающихся к безопасной жизнедеятельности в реальной окружающей среде – природной, техногенной и социальной; формирование адекватного представления о военной службе и необходимых для ее прохождения качествах; воспитание безопасного типа личности.</w:t>
      </w:r>
    </w:p>
    <w:p w:rsidR="00000000" w:rsidDel="00000000" w:rsidP="00000000" w:rsidRDefault="00000000" w:rsidRPr="00000000" w14:paraId="00000007">
      <w:pPr>
        <w:spacing w:line="244" w:lineRule="auto"/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освоение знаний</w:t>
      </w:r>
      <w:r w:rsidDel="00000000" w:rsidR="00000000" w:rsidRPr="00000000">
        <w:rPr>
          <w:sz w:val="28"/>
          <w:szCs w:val="28"/>
          <w:rtl w:val="0"/>
        </w:rPr>
        <w:t xml:space="preserve"> о безопасном поведении человека в опасных и чрезвычайных ситуациях природного, техногенного и социального характера; о здоровье и здоровом образе жизни; о государственной системе защиты населения от опасных и чрезвычайных ситуаций; об обязанностях граждан по защите государства;</w:t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воспитание </w:t>
      </w:r>
      <w:r w:rsidDel="00000000" w:rsidR="00000000" w:rsidRPr="00000000">
        <w:rPr>
          <w:sz w:val="28"/>
          <w:szCs w:val="28"/>
          <w:rtl w:val="0"/>
        </w:rPr>
        <w:t xml:space="preserve">ценностного отношения к здоровью и человеческой жизни; чувства уважения к героическому наследию России и ее государственной символике, патриотизма и долга по защите Отечества; </w:t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развитие </w:t>
      </w:r>
      <w:r w:rsidDel="00000000" w:rsidR="00000000" w:rsidRPr="00000000">
        <w:rPr>
          <w:sz w:val="28"/>
          <w:szCs w:val="28"/>
          <w:rtl w:val="0"/>
        </w:rPr>
        <w:t xml:space="preserve">черт личности, необходимых для безопасного поведения в чрезвычайных ситуациях и при прохождении военной службы; бдительности по предотвращению актов терроризма; потребности ведения здорового образа жизни;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-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овладение умениями</w:t>
      </w:r>
      <w:r w:rsidDel="00000000" w:rsidR="00000000" w:rsidRPr="00000000">
        <w:rPr>
          <w:sz w:val="28"/>
          <w:szCs w:val="28"/>
          <w:rtl w:val="0"/>
        </w:rPr>
        <w:t xml:space="preserve"> оценивать ситуации, опасные для жизни и здоровья; действовать в чрезвычайных ситуациях; использовать средства индивидуальной и коллективной защиты; оказывать первую медицинскую помощь пострадавшим.</w:t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Предметные результаты.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4"/>
        <w:gridCol w:w="4767"/>
        <w:tblGridChange w:id="0">
          <w:tblGrid>
            <w:gridCol w:w="4804"/>
            <w:gridCol w:w="4767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научится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получит возможность научиться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 и характеризовать основные составляющие здорового образа жизни и их влияние на безопасность жизнедеятельности личности; определять факторы, влияющие на репродуктивное здоровье; </w:t>
            </w:r>
          </w:p>
          <w:p w:rsidR="00000000" w:rsidDel="00000000" w:rsidP="00000000" w:rsidRDefault="00000000" w:rsidRPr="00000000" w14:paraId="00000012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распознавать и оценивать потенциальные опасности природного, техногенного и социального происхождения, характерные для региона проживания; </w:t>
            </w:r>
          </w:p>
          <w:p w:rsidR="00000000" w:rsidDel="00000000" w:rsidP="00000000" w:rsidRDefault="00000000" w:rsidRPr="00000000" w14:paraId="00000013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-классифицировать и характеризовать основные задачи государственных служб по защите населения и территорий от чрезвычайных ситуаций природного и техногенного характера; </w:t>
            </w:r>
          </w:p>
          <w:p w:rsidR="00000000" w:rsidDel="00000000" w:rsidP="00000000" w:rsidRDefault="00000000" w:rsidRPr="00000000" w14:paraId="00000014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понимать основы российского законодательства об обороне государства и воинской обязанности граждан; порядок первоначальной постановки на воинский учет, медицинского освидетельствования, призыва на военную службу;  требования, предъявляемые военной службой к уровню подготовленности призывника; основные права и обязанности граждан до призыва на военную службу, во время прохождения военной службы и пребывания в запасе;</w:t>
            </w:r>
          </w:p>
          <w:p w:rsidR="00000000" w:rsidDel="00000000" w:rsidP="00000000" w:rsidRDefault="00000000" w:rsidRPr="00000000" w14:paraId="00000015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иметь представление о составе и предназначении Вооруженных Сил Российской Федерации; основных видах военно-профессиональной деятельности; особенностях прохождения военной службы по призыву и контракту, альтернативной гражданской службе;</w:t>
            </w:r>
          </w:p>
          <w:p w:rsidR="00000000" w:rsidDel="00000000" w:rsidP="00000000" w:rsidRDefault="00000000" w:rsidRPr="00000000" w14:paraId="00000016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-характеризовать предназначение, структуру и задачи РСЧС; предназначение, структуру и задачи гражданской обороны: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способами защиты населения от чрезвычайных ситуаций природного и техногенного характера;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пользоваться средствами индивидуальной и коллективной защиты;</w:t>
            </w:r>
          </w:p>
          <w:p w:rsidR="00000000" w:rsidDel="00000000" w:rsidP="00000000" w:rsidRDefault="00000000" w:rsidRPr="00000000" w14:paraId="00000019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оценивать уровень своей подготовленности и осуществлять осознанное самоопределение по отношению к военной службе;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- использовать приобретенные знания и умения в практической деятельности и повседневной жизни  для ведения здорового образа жизни и оказания первой  помощи;</w:t>
            </w:r>
          </w:p>
          <w:p w:rsidR="00000000" w:rsidDel="00000000" w:rsidP="00000000" w:rsidRDefault="00000000" w:rsidRPr="00000000" w14:paraId="0000001B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обращаться за помощью в случае необходимости в соответствующие службы экстренной помощи.</w:t>
            </w:r>
          </w:p>
          <w:p w:rsidR="00000000" w:rsidDel="00000000" w:rsidP="00000000" w:rsidRDefault="00000000" w:rsidRPr="00000000" w14:paraId="0000001C">
            <w:pPr>
              <w:ind w:firstLine="709"/>
              <w:jc w:val="both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 возникновение опасных ситуаций по характерным признакам их появления, а также на основе анализа специальной информации, получаемой из различных источников;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принимать обоснованные решения и вырабатывать план действий в конкретной опасной ситуации с учетом реально складывающейся обстановки и своих возможностей;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безопасного образа жизни;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здорового образа жизни; оказания первой медицинской помощи;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планировать профилактические мероприятия по сохранению и укреплению своего здоровья;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находить ресурсы для развития в себе духовных и физических качеств, необходимых для военной службы;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для решения коммуникативных задач в области ОБЖ различные источники информации, включая Интернет-ресурсы и другие базы данных;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усваивать приемы действий в различных опасных и чрезвычайных ситуациях;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исследовать различные ситуации в повседневной жизнедеятельности, выявлять опасные и чрезвычайные ситуации;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творчески решать моделируемые ситуации и практические задачи в области безопасности жизнедеятельности.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2.Метапредметные результаты.</w:t>
      </w:r>
    </w:p>
    <w:tbl>
      <w:tblPr>
        <w:tblStyle w:val="Table2"/>
        <w:tblW w:w="9615.0" w:type="dxa"/>
        <w:jc w:val="left"/>
        <w:tblInd w:w="0.0" w:type="dxa"/>
        <w:tblLayout w:type="fixed"/>
        <w:tblLook w:val="0400"/>
      </w:tblPr>
      <w:tblGrid>
        <w:gridCol w:w="4752"/>
        <w:gridCol w:w="4863"/>
        <w:tblGridChange w:id="0">
          <w:tblGrid>
            <w:gridCol w:w="4752"/>
            <w:gridCol w:w="4863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2.2.Ученик получит возможность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Анализировать причины возникновения опасных и чрезвычайных ситуаций;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обобщать и сравнивать последствия опасных и чрезвычайных ситуаций;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выявлять причинно-следственные связи опасных ситуаций и их влияние на безопасность жизнедеятельности человека;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самостоятельно определять цели и задачи по безопасному поведению в повседневной жизни и в различных опасных и чрезвычайных ситуациях, выбирать средства реализации поставленных целей, оценивать результаты своей деятельности в обеспечении личной безопасности;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производить самостоятельный поиск, анализ и отбор информации в области безопасности жизнедеятельности  с использованием различных источников и новых информационных технологий;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информировать о результатах своих наблюдений, участвовать в дискуссии.</w:t>
            </w:r>
          </w:p>
          <w:p w:rsidR="00000000" w:rsidDel="00000000" w:rsidP="00000000" w:rsidRDefault="00000000" w:rsidRPr="00000000" w14:paraId="0000003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Формулировать личные понятия о безопасности;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-воспринимать и перерабатывать информацию, генерировать идеи, моделировать индивидуальные подходы к обеспечению личной безопасности в повседневной жизни и в чрезвычайных ситуациях;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выражать свои мысли и слушать собеседника, принимать его точку зрения, признавать право другого человека на иное мнение;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отстаивать свою точку зрения, находить компромиссное решение в различных ситуациях;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действовать в опасных и чрезвычайных ситуациях различного происхождения;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взаимодействовать с окружающими, выполнять различные социальные роли во время и при ликвидации последствий чрезвычайных ситуаций.</w:t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76" w:lineRule="auto"/>
        <w:ind w:left="1080" w:right="0" w:hanging="360"/>
        <w:jc w:val="center"/>
        <w:rPr>
          <w:rFonts w:ascii="yandex-sans" w:cs="yandex-sans" w:eastAsia="yandex-sans" w:hAnsi="yandex-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yandex-sans" w:cs="yandex-sans" w:eastAsia="yandex-sans" w:hAnsi="yandex-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Личностные результаты.</w:t>
      </w:r>
    </w:p>
    <w:tbl>
      <w:tblPr>
        <w:tblStyle w:val="Table3"/>
        <w:tblW w:w="9615.0" w:type="dxa"/>
        <w:jc w:val="left"/>
        <w:tblInd w:w="0.0" w:type="dxa"/>
        <w:tblLayout w:type="fixed"/>
        <w:tblLook w:val="0400"/>
      </w:tblPr>
      <w:tblGrid>
        <w:gridCol w:w="4711"/>
        <w:gridCol w:w="4904"/>
        <w:tblGridChange w:id="0">
          <w:tblGrid>
            <w:gridCol w:w="4711"/>
            <w:gridCol w:w="4904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3.2.Ученик получит возможность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Находить ресурсы для развития личностных, в том числе духовных и физических качеств, обеспечивающих защищенность жизненно важных интересов личности от внешних и внутренних угроз;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осознанно выполнять правила безопасности жизнедеятельности;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ответственно относиться к сохранению окружающей природной среды, личному здоровью как к индивидуальной и общественной ценности.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-формировать устойчивую внутреннюю позицию личности безопасного типа;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оценивать с эстетической точки зрения красоту окружающего мира и человеческих взаимоотношений;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понимать личностные, профессиональные и жизненные ценности, склонности и интересы для будущего самоопределения;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ind w:firstLine="709"/>
        <w:jc w:val="center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Контроль результатов  обучения.</w:t>
      </w:r>
    </w:p>
    <w:p w:rsidR="00000000" w:rsidDel="00000000" w:rsidP="00000000" w:rsidRDefault="00000000" w:rsidRPr="00000000" w14:paraId="0000004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Основной формой текущего контроля знаний учащихся являются устные ответы учащихся на теоретические вопросы. Письменный контроль осуществляется в форме проверочных(2)  и контрольных(2)  работ. Проверочные работы проводятся в конце первой и третьей четвертей. Промежуточная контрольная работа по теме </w:t>
      </w:r>
      <w:r w:rsidDel="00000000" w:rsidR="00000000" w:rsidRPr="00000000">
        <w:rPr>
          <w:sz w:val="28"/>
          <w:szCs w:val="28"/>
          <w:rtl w:val="0"/>
        </w:rPr>
        <w:t xml:space="preserve">«Гражданская оборона – составная часть обороноспособности страны»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проводится в конце первого полугодия. Итоговая контрольная письменная работа проводится после изучения  программы курса ОБЖ в конце учебного года. Контрольные работы служат для контроля качества усвоения учащимися учебного материала и их умением применять знания на практике. Также предусматривается контроль усвоения практических навыков в рамках программы курса во время практических занятий. </w:t>
      </w:r>
    </w:p>
    <w:p w:rsidR="00000000" w:rsidDel="00000000" w:rsidP="00000000" w:rsidRDefault="00000000" w:rsidRPr="00000000" w14:paraId="0000004D">
      <w:pPr>
        <w:spacing w:before="100" w:lineRule="auto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before="280" w:lineRule="auto"/>
        <w:rPr>
          <w:rFonts w:ascii="yandex-sans" w:cs="yandex-sans" w:eastAsia="yandex-sans" w:hAnsi="yandex-san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280" w:lineRule="auto"/>
        <w:rPr>
          <w:rFonts w:ascii="yandex-sans" w:cs="yandex-sans" w:eastAsia="yandex-sans" w:hAnsi="yandex-san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учебной программы.</w:t>
      </w:r>
    </w:p>
    <w:p w:rsidR="00000000" w:rsidDel="00000000" w:rsidP="00000000" w:rsidRDefault="00000000" w:rsidRPr="00000000" w14:paraId="0000005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1"/>
        <w:gridCol w:w="5650"/>
        <w:tblGridChange w:id="0">
          <w:tblGrid>
            <w:gridCol w:w="3921"/>
            <w:gridCol w:w="5650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Опасные и чрезвычайные ситуации, возникающие в повседневной жизни, и правила безопасного поведения.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поведения в условиях вынужденной автономии в природных условиях. Правила поведения в ситуациях криминогенного характера. Уголовная ответственность несовершеннолетних. Правила поведения в условиях чрезвычайных ситуаций природного характера. Правила поведения 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условиях чрезвычайных ситуаций техногенного характера. Единая государственная система предупреждений и ликвидации ЧС (РСЧС). Законы и другие нормативно-правовые акты РФ по обеспечению безопасности.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Гражданская оборона – составная часть системы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обороноспособности страны.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Гражданская оборона, основные понятия и определения, задачи ГО. Современные средства поражения, их поражающие факторы, мероприятия по защите населения. Оповещение и информирование населения о ЧС. Организация инженерной защиты населения от поражающих факторов ЧС мирного и военного времени. Средства индивидуальной защиты населения. Организация проведения аварийно-спасательных работ в зоне ЧС. Организация ГО в школе.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Основы медицинских знаний и здорового образа жизни.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и его составляющие. Биологические ритмы и работоспособность человека. Значение двигательной активности и закаливания.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Вредные привычки. Профилактика вредных привычек.</w:t>
            </w:r>
          </w:p>
          <w:p w:rsidR="00000000" w:rsidDel="00000000" w:rsidP="00000000" w:rsidRDefault="00000000" w:rsidRPr="00000000" w14:paraId="00000061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Основы военной службы.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создания Вооруженных Сил России. Организационная структура Вооруженных Сил. Функции и основные задачи современных Вооруженных Сил России. Другие войска, их состав и предназначение. Патриотизм – основа героизма. Дни воинской славы России. Дружба, войсковое товарищество – основа боевой готовности. Боевое знамя воинской части. Ордена — почетные награды за воинские отличия. Ритуалы Вооруженных Сил Российской Федерации.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ТЕМАТИЧЕСКОЕ ПЛАНИРОВАНИЕ</w:t>
      </w:r>
    </w:p>
    <w:p w:rsidR="00000000" w:rsidDel="00000000" w:rsidP="00000000" w:rsidRDefault="00000000" w:rsidRPr="00000000" w14:paraId="00000069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час в неделю, всего 34 часа)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1"/>
        <w:gridCol w:w="496"/>
        <w:gridCol w:w="4889"/>
        <w:gridCol w:w="1003"/>
        <w:tblGridChange w:id="0">
          <w:tblGrid>
            <w:gridCol w:w="3291"/>
            <w:gridCol w:w="496"/>
            <w:gridCol w:w="4889"/>
            <w:gridCol w:w="1003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Разделы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урока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часов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1. Безопасность и защита человека в опасных и чрезвычайных ситуациях.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1. Опасные и ЧС, возникающие в повседневной жизни и правила безопасного поведения.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поведения в условиях вынужденной автономии.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поведения в ситуациях криминогенного характера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Уголовная ответственность несовершеннолетних.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поведения в условиях ЧС природного и техногенного характера.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Единая система предупреждения и ликвидации ЧС (РСЧС).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Законы и другие нормативно-правовые акты РФ в области безопасности.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2. Гражданская оборона – составная часть обороноспособности страны.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Гражданская оборона: основные понятия, определения.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Проверочная работа по теме «Опасные и чрезвычайные ситуации повседневной жизни».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становления и задачи гражданской обороны.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Современные средства поражения.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Ядерное оружие.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Химическое оружие.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Бактериологическое (биологическое оружие).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Обычное оружие и его поражающие факторы.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Оповещение населения об опасностях военного и мирного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контрольная работа «Гражданская оборона – составная часть обороноспособности страны».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Организация инженерной защиты от поражающих факторов ЧС.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Средства индивидуальной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Практическая работа: Надевание противогаза ГП-5.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2. Основы медицинских знаний и здорового образа жизни.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3. Основы медицинских знаний и профилактика инфекционных заболеваний.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Сохранение и укрепление здоровья – часть подготовки к военной службе.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инфекционные заболевания, их классификация и профилактика.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4. Основы здорового образа жизни.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и его составляющие.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Биологические ритмы и их влияние на работоспособность человека.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двигательной активности для здоровья человека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Вредные привычки и их влияние на здоровье человека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Профилактика вредных привычек.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Проверочная работа по теме «Основы медицинских знаний и здорового образа жизни».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D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3. Основы военной службы.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5. Вооруженные Силы РФ – защитники нашего Отечества.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создания ВС РФ.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Структура ВС. Виды ВС, рода войск.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войска, их состав и предназначение.</w:t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6. Боевые традиции ВС России.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Патриотизм и верность воинскому долгу – качества защитника Отечества.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Дни воинской славы России.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Дружба и войсковое товарищество.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7. Символы воинской чести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Боевое Знамя воинской части.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Ритуалы ВС РФ.</w:t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Ордена и медали.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Итоговая контрольная работа за курс ОБЖ 10 класса.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26E7C"/>
    <w:pPr>
      <w:spacing w:after="0" w:line="240" w:lineRule="auto"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E26E7C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 w:customStyle="1">
    <w:name w:val="Сетка таблицы1"/>
    <w:basedOn w:val="a1"/>
    <w:next w:val="a3"/>
    <w:uiPriority w:val="59"/>
    <w:rsid w:val="00D83F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rsid w:val="002C5C79"/>
    <w:pPr>
      <w:spacing w:after="100" w:afterAutospacing="1" w:before="100" w:beforeAutospacing="1"/>
    </w:pPr>
  </w:style>
  <w:style w:type="paragraph" w:styleId="a5">
    <w:name w:val="List Paragraph"/>
    <w:basedOn w:val="a"/>
    <w:uiPriority w:val="34"/>
    <w:qFormat w:val="1"/>
    <w:rsid w:val="002C5C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5SOTarf63tL3gsnKMk0XUfTNA==">AMUW2mXq+neaHEzA8185qOOyB47W33ypkTChXo5o2m7+BOFTdBnhj+LF0IzC5nZpVRzI3244SWU6okiNZDJLV7ds2V1aBSg78h3o/nxavOaILptHGx6eccBXz1VUoBYvollL5qPMjy03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2017-09-29T03:20:00Z</dcterms:created>
  <dc:creator>teacher</dc:creator>
</cp:coreProperties>
</file>