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MARCO DE CIBERSEGURIDAD QUE CREA LA AGENCIA NACIONAL DE CIBERSEGURIDAD Y EL SISTEMA NACIONAL DE EQUIPOS DE RESPUESTA ANTE INCIDENTES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MARCO DE CIBERSEGURIDAD QUE CREA LA AGENCIA NACIONAL DE CIBERSEGURIDAD Y EL SISTEMA NACIONAL DE EQUIPOS DE RESPUESTA ANTE INCIDENTES</w:t>
      </w:r>
    </w:p>
    <w:p>
      <w:pPr>
        <w:jc w:val="both"/>
      </w:pPr>
      <w:r>
        <w:rPr>
          <w:b/>
        </w:rPr>
        <w:t>Artículo 1. Objeto</w:t>
        <w:br/>
      </w:r>
      <w:r>
        <w:t>La presente ley tiene por objeto establecer el marco institucional, los principios, las obligaciones y el régimen de supervisión de la ciberseguridad en el ámbito civil, a fin de proteger la continuidad de los servicios digitales, los derechos de las personas y la confianza digital en el país.</w:t>
      </w:r>
    </w:p>
    <w:p>
      <w:pPr>
        <w:jc w:val="both"/>
      </w:pPr>
      <w:r>
        <w:rPr>
          <w:b/>
        </w:rPr>
        <w:t>Artículo 2. Ámbito de aplicación</w:t>
        <w:br/>
      </w:r>
      <w:r>
        <w:t>La presente ley se aplica a las entidades de la administración pública comprendidas en el artículo I del Título Preliminar del Texto Único Ordenado de la Ley 27444, Ley del Procedimiento Administrativo General, y a las personas jurídicas de derecho privado calificadas como operadores de servicios esenciales o de importancia vital conforme a la ley de la materia. No comprende las operaciones militares en y mediante el ciberespacio reguladas por la Ley 30999, Ley de Ciberdefensa.</w:t>
      </w:r>
    </w:p>
    <w:p>
      <w:pPr>
        <w:jc w:val="both"/>
      </w:pPr>
      <w:r>
        <w:rPr>
          <w:b/>
        </w:rPr>
        <w:t>Artículo 3. Principios</w:t>
        <w:br/>
      </w:r>
      <w:r>
        <w:t>Rigen la presente ley los principios de seguridad desde el diseño, proporcionalidad según riesgo, cooperación público-privada, respeto de los derechos fundamentales y de la privacidad, neutralidad tecnológica, transparencia y rendición de cuentas.</w:t>
      </w:r>
    </w:p>
    <w:p>
      <w:pPr>
        <w:jc w:val="both"/>
      </w:pPr>
      <w:r>
        <w:rPr>
          <w:b/>
        </w:rPr>
        <w:t>Artículo 4. Creación de la Agencia Nacional de Ciberseguridad</w:t>
        <w:br/>
      </w:r>
      <w:r>
        <w:t>Créase la Agencia Nacional de Ciberseguridad (ANC) como organismo técnico especializado adscrito a la Presidencia del Consejo de Ministros, con personería jurídica de derecho público interno y autonomía técnica, funcional, administrativa, económica y financiera. La ANC constituye pliego presupuestal y absorbe las funciones del Centro Nacional de Seguridad Digital creado por el Decreto de Urgencia 007-2020.</w:t>
      </w:r>
    </w:p>
    <w:p>
      <w:pPr>
        <w:jc w:val="both"/>
      </w:pPr>
      <w:r>
        <w:rPr>
          <w:b/>
        </w:rPr>
        <w:t>Artículo 5. Funciones de la ANC</w:t>
        <w:br/>
      </w:r>
      <w:r>
        <w:t>Son funciones de la ANC: a) dictar normas técnicas obligatorias de ciberseguridad; b) supervisar y fiscalizar su cumplimiento y ejercer la potestad sancionadora; c) conducir el CSIRT Nacional; d) mantener el Registro Nacional de Incidentes; e) emitir alertas y directivas de mitigación; f) certificar esquemas de evaluación de conformidad; g) coordinar con el Ministerio de Defensa la escalada de incidentes que afecten la seguridad nacional; h) representar al Estado en la cooperación internacional en materia de ciberseguridad civil.</w:t>
      </w:r>
    </w:p>
    <w:p>
      <w:pPr>
        <w:jc w:val="both"/>
      </w:pPr>
      <w:r>
        <w:rPr>
          <w:b/>
        </w:rPr>
        <w:t>Artículo 6. Sistema Nacional de CSIRT</w:t>
        <w:br/>
      </w:r>
      <w:r>
        <w:t>El Sistema Nacional de CSIRT está integrado por el CSIRT Nacional a cargo de la ANC, los CSIRT sectoriales que designen los organismos reguladores y supervisores, y los CSIRT regionales que se constituyan por convenio con los gobiernos regionales. La ANC establece los protocolos de intercambio de información, clasificación de incidentes y respuesta coordinada.</w:t>
      </w:r>
    </w:p>
    <w:p>
      <w:pPr>
        <w:jc w:val="both"/>
      </w:pPr>
      <w:r>
        <w:rPr>
          <w:b/>
        </w:rPr>
        <w:t>Artículo 7. Consejo Consultivo de Ciberseguridad</w:t>
        <w:br/>
      </w:r>
      <w:r>
        <w:t>Créase el Consejo Consultivo de Ciberseguridad, de carácter ad honorem, integrado por representantes de la academia, gremios empresariales, colegios profesionales, sociedad civil y comunidad técnica, que emite opinión no vinculante sobre la Estrategia Nacional de Ciberseguridad y los proyectos normativos de la ANC.</w:t>
      </w:r>
    </w:p>
    <w:p>
      <w:pPr>
        <w:jc w:val="both"/>
      </w:pPr>
      <w:r>
        <w:rPr>
          <w:b/>
        </w:rPr>
        <w:t>Artículo 8. Estrategia Nacional de Ciberseguridad</w:t>
        <w:br/>
      </w:r>
      <w:r>
        <w:t>La ANC formula la Estrategia Nacional de Ciberseguridad con horizonte quinquenal, articulada a la Política Nacional de Transformación Digital, que se aprueba por decreto supremo con el voto aprobatorio del Consejo de Ministros y se evalúa anualmente mediante indicadores públicos.</w:t>
      </w:r>
    </w:p>
    <w:p>
      <w:pPr>
        <w:jc w:val="both"/>
      </w:pPr>
      <w:r>
        <w:rPr>
          <w:b/>
        </w:rPr>
        <w:t>Artículo 9. Infracciones y sanciones</w:t>
        <w:br/>
      </w:r>
      <w:r>
        <w:t>Constituyen infracciones el incumplimiento de las normas técnicas obligatorias, de la obligación de notificar incidentes y de las directivas de mitigación. Las sanciones son amonestación y multa de hasta 1000 UIT, graduadas según tamaño del infractor, gravedad, reincidencia y beneficio obtenido. Para las entidades públicas, el incumplimiento genera responsabilidad administrativa funcional del titular y del oficial de seguridad, conforme a la normativa de control.</w:t>
      </w:r>
    </w:p>
    <w:p>
      <w:pPr>
        <w:jc w:val="both"/>
      </w:pPr>
      <w:r>
        <w:rPr>
          <w:b/>
        </w:rPr>
        <w:t>Artículo 10. Financiamiento de la ANC</w:t>
        <w:br/>
      </w:r>
      <w:r>
        <w:t>Son recursos de la ANC: a) los asignados en la Ley de Presupuesto del Sector Público; b) los provenientes de la cooperación técnica internacional; c) los ingresos por certificaciones y servicios técnicos; y d) el producto de las multas, que se destina exclusivamente a capacitación y fortalecimiento del Sistema Nacional de CSIRT.</w:t>
      </w:r>
    </w:p>
    <w:p>
      <w:pPr>
        <w:jc w:val="both"/>
      </w:pPr>
      <w:r>
        <w:rPr>
          <w:b/>
        </w:rPr>
        <w:t>Primera. Disposición Complementaria Final</w:t>
        <w:br/>
      </w:r>
      <w:r>
        <w:t>Reglamentación. El Poder Ejecutivo, mediante decreto supremo refrendado por el Presidente del Consejo de Ministros, reglamenta la presente ley en un plazo no mayor de 120 días hábiles contados desde su entrada en vigencia.</w:t>
      </w:r>
    </w:p>
    <w:p>
      <w:pPr>
        <w:jc w:val="both"/>
      </w:pPr>
      <w:r>
        <w:rPr>
          <w:b/>
        </w:rPr>
        <w:t>Segunda. Disposición Complementaria Final</w:t>
        <w:br/>
      </w:r>
      <w:r>
        <w:t>Transferencia. En un plazo de 180 días calendario, la Presidencia del Consejo de Ministros transfiere a la ANC el acervo documentario, los bienes, el personal y los recursos del Centro Nacional de Seguridad Digital.</w:t>
      </w:r>
    </w:p>
    <w:p>
      <w:pPr>
        <w:jc w:val="both"/>
      </w:pPr>
      <w:r>
        <w:rPr>
          <w:b/>
        </w:rPr>
        <w:t>Tercera. Disposición Complementaria Final</w:t>
        <w:br/>
      </w:r>
      <w:r>
        <w:t>Gradualidad sancionadora. Durante los primeros 18 meses de vigencia, la ANC prioriza acciones de orientación y subsanación; la potestad sancionadora respecto de entidades privadas se ejerce desde el día siguiente de vencido dicho plazo.</w:t>
      </w:r>
    </w:p>
    <w:p>
      <w:pPr>
        <w:jc w:val="both"/>
      </w:pPr>
      <w:r>
        <w:rPr>
          <w:b/>
        </w:rPr>
        <w:t>Única. Disposición Complementaria Modificatoria</w:t>
        <w:br/>
      </w:r>
      <w:r>
        <w:t>Modifícase el Decreto de Urgencia 007-2020 para precisar que las referencias al Centro Nacional de Seguridad Digital se entienden hechas a la Agencia Nacional de Ciberseguridad.</w:t>
      </w:r>
    </w:p>
    <w:p>
      <w:r>
        <w:t>Lima, ___ de __________ de 20__</w:t>
      </w:r>
    </w:p>
    <w:p>
      <w:r>
        <w:br w:type="page"/>
      </w:r>
    </w:p>
    <w:p>
      <w:pPr>
        <w:pStyle w:val="Heading1"/>
      </w:pPr>
      <w:r>
        <w:t>EXPOSICIÓN DE MOTIVOS</w:t>
      </w:r>
    </w:p>
    <w:p>
      <w:pPr>
        <w:pStyle w:val="Heading2"/>
      </w:pPr>
      <w:r>
        <w:t>I. Fundamentos y problema</w:t>
      </w:r>
    </w:p>
    <w:p>
      <w:pPr>
        <w:jc w:val="both"/>
      </w:pPr>
      <w:r>
        <w:t>El Perú no cuenta con una ley general de ciberseguridad. La materia descansa en el Decreto de Urgencia 007-2020 (Marco de Confianza Digital), cuyo reglamento recién se aprobó con el Decreto Supremo 126-2025-PCM y rige desde febrero de 2026; en la Ley 30999, que solo cubre la ciberdefensa militar; y en normas sectoriales como la Resolución SBS 504-2021. Según el análisis de Apaxi (2026), el reglamento del Marco de Confianza Digital solo es vinculante para sectores listados, es referencial para el resto y la Secretaría de Gobierno y Transformación Digital no tiene un régimen sancionador propio. Mientras tanto, el Ministerio Público registró 29 118 denuncias por delitos informáticos entre enero y julio de 2026 (El Peruano, 2-9-2026). En el periodo 2021-2026 se presentaron iniciativas parciales (por ejemplo, los proyectos 8842/2024-CR y 9906/2024-CR) que no llegaron a convertirse en ley. La ausencia de un órgano con autonomía técnica, presupuesto propio y capacidad de exigir cumplimiento impide pasar de recomendaciones a obligaciones verificables, y dificulta la cooperación internacional con agencias pares como la ANCI chilena.</w:t>
      </w:r>
    </w:p>
    <w:p>
      <w:pPr>
        <w:pStyle w:val="Heading2"/>
      </w:pPr>
      <w:r>
        <w:t>II. Objeto</w:t>
      </w:r>
    </w:p>
    <w:p>
      <w:pPr>
        <w:jc w:val="both"/>
      </w:pPr>
      <w:r>
        <w:t>Establecer el marco institucional y normativo de la ciberseguridad civil del Estado y de los operadores privados, crear la Agencia Nacional de Ciberseguridad y organizar el Sistema Nacional de CSIRT.</w:t>
      </w:r>
    </w:p>
    <w:p>
      <w:pPr>
        <w:pStyle w:val="Heading2"/>
      </w:pPr>
      <w:r>
        <w:t>III. Análisis costo-beneficio</w:t>
      </w:r>
    </w:p>
    <w:p>
      <w:pPr>
        <w:jc w:val="both"/>
      </w:pPr>
      <w:r>
        <w:t>Genera gasto público medio: requiere crear un pliego, aunque parte del costo se cubre con la transferencia del personal y presupuesto del Centro Nacional de Seguridad Digital y con ingresos propios por certificaciones. No hay estimación oficial del costo de los incidentes en el Perú; por ello el beneficio se expresa en reducción de riesgo: un ente con potestad sancionadora convierte guías referenciales en obligaciones exigibles, mejora la respuesta coordinada y habilita cooperación con agencias pares. La gradualidad de 18 meses y las multas proporcionales al tamaño reducen el impacto en mipymes. Se recomienda que el análisis de impacto regulatorio ex ante cuantifique el presupuesto inicial antes del dictamen.</w:t>
      </w:r>
    </w:p>
    <w:p>
      <w:pPr>
        <w:pStyle w:val="Heading2"/>
      </w:pPr>
      <w:r>
        <w:t>IV. Efecto de la vigencia de la norma sobre la legislación nacional</w:t>
      </w:r>
    </w:p>
    <w:p>
      <w:pPr>
        <w:jc w:val="both"/>
      </w:pPr>
      <w:r>
        <w:t>Complementa la Ley 30999 (deslinda ciberseguridad civil y ciberdefensa); modifica el Decreto de Urgencia 007-2020 en lo referido al Centro Nacional de Seguridad Digital; obliga a adecuar el Decreto Supremo 126-2025-PCM.</w:t>
      </w:r>
    </w:p>
    <w:p>
      <w:pPr>
        <w:pStyle w:val="Heading2"/>
      </w:pPr>
      <w:r>
        <w:t>V. Antecedentes</w:t>
      </w:r>
    </w:p>
    <w:p>
      <w:pPr>
        <w:jc w:val="both"/>
      </w:pPr>
      <w:r>
        <w:t>Proyectos 08842/2024-CR (declara de interés nacional la creación de un comité de alto nivel de ciberseguridad) y 9906/2024-CR (Ley de Seguridad Digital o Ciberseguridad), del periodo 2021-2026; su estado final debe verificarse en SPLEY.</w:t>
      </w:r>
    </w:p>
    <w:p>
      <w:pPr>
        <w:pStyle w:val="Heading2"/>
      </w:pPr>
      <w:r>
        <w:t>VI. Indicador de éxito</w:t>
      </w:r>
    </w:p>
    <w:p>
      <w:pPr>
        <w:jc w:val="both"/>
      </w:pPr>
      <w:r>
        <w:t>A 2031, ANC operativa con pliego propio, al menos 10 CSIRT sectoriales y regionales acreditados y Estrategia Nacional de Ciberseguridad evaluada anualmente con informe público.</w:t>
      </w:r>
    </w:p>
    <w:p>
      <w:pPr>
        <w:pStyle w:val="Heading2"/>
      </w:pPr>
      <w:r>
        <w:t>VII. Vinculación con la Agenda Legislativa y el Plan Perú 2050</w:t>
      </w:r>
    </w:p>
    <w:p>
      <w:r>
        <w:t>Comisiones temáticas del Plan Perú 2050: Ciber Seguridad, Perú en La Era Digital, Institucionalidad. ODS: 9, 16.</w:t>
      </w:r>
    </w:p>
    <w:p>
      <w:pPr>
        <w:pStyle w:val="Heading2"/>
      </w:pPr>
      <w:r>
        <w:t>VIII. Referencias</w:t>
      </w:r>
    </w:p>
    <w:p>
      <w:pPr>
        <w:pStyle w:val="ListBullet"/>
      </w:pPr>
      <w:r>
        <w:t>Decreto de Urgencia 007-2020, que aprueba el Marco de Confianza Digital y dispone medidas para su fortalecimiento — https://www.gob.pe/institucion/pcm/normas-legales/395322-007-2020</w:t>
      </w:r>
    </w:p>
    <w:p>
      <w:pPr>
        <w:pStyle w:val="ListBullet"/>
      </w:pPr>
      <w:r>
        <w:t>Decreto Supremo 126-2025-PCM, Reglamento del Decreto de Urgencia 007-2020 (Marco de Confianza Digital) — https://busquedas.elperuano.pe/dispositivo/EX/2455024-1</w:t>
      </w:r>
    </w:p>
    <w:p>
      <w:pPr>
        <w:pStyle w:val="ListBullet"/>
      </w:pPr>
      <w:r>
        <w:t>Ley 30999, Ley de Ciberdefensa (2019) — https://busquedas.elperuano.pe/normaslegales/ley-de-ciberdefensa-ley-n-30999-1801519-5/</w:t>
      </w:r>
    </w:p>
    <w:p>
      <w:pPr>
        <w:pStyle w:val="ListBullet"/>
      </w:pPr>
      <w:r>
        <w:t>Decreto Supremo 085-2023-PCM, Política Nacional de Transformación Digital al 2030 — https://busquedas.elperuano.pe/dispositivo/NL/2200457-5</w:t>
      </w:r>
    </w:p>
    <w:p>
      <w:pPr>
        <w:pStyle w:val="ListBullet"/>
      </w:pPr>
      <w:r>
        <w:t>Resolución SBS 504-2021, Reglamento para la Gestión de la Seguridad de la Información y la Ciberseguridad — https://busquedas.elperuano.pe/dispositivo/NL/1929393-1</w:t>
      </w:r>
    </w:p>
    <w:p>
      <w:pPr>
        <w:pStyle w:val="ListBullet"/>
      </w:pPr>
      <w:r>
        <w:t>Chile: Ley 21.663, Ley Marco de Ciberseguridad (crea la Agencia Nacional de Ciberseguridad y CSIRT) — https://www.bcn.cl/leychile/navegar?idNorma=1202434</w:t>
      </w:r>
    </w:p>
    <w:p>
      <w:pPr>
        <w:pStyle w:val="ListBullet"/>
      </w:pPr>
      <w:r>
        <w:t>Unión Europea: Directiva (UE) 2022/2555 (NIS2), medidas para un elevado nivel común de ciberseguridad — https://eur-lex.europa.eu/eli/dir/2022/2555/oj</w:t>
      </w:r>
    </w:p>
    <w:p>
      <w:pPr>
        <w:pStyle w:val="ListBullet"/>
      </w:pPr>
      <w:r>
        <w:t>Singapur: Cybersecurity Act 2018 — https://sso.agc.gov.sg/Act/CA2018</w:t>
      </w:r>
    </w:p>
    <w:p>
      <w:pPr>
        <w:pStyle w:val="ListBullet"/>
      </w:pPr>
      <w:r>
        <w:t>España: Real Decreto-ley 12/2018, de seguridad de las redes y sistemas de información — https://www.boe.es/buscar/act.php?id=BOE-A-2018-12257</w:t>
      </w:r>
    </w:p>
    <w:p>
      <w:pPr>
        <w:pStyle w:val="ListBullet"/>
      </w:pPr>
      <w:r>
        <w:t>Apaxi (07-09-2026): Normas de ciberseguridad para empresas en el Perú — https://apaxi.info/2026/09/07/normas-ciberseguridad-empresas-peru/</w:t>
      </w:r>
    </w:p>
    <w:p>
      <w:pPr>
        <w:pStyle w:val="ListBullet"/>
      </w:pPr>
      <w:r>
        <w:t>CiberLATAM: Perú avanza con ciberseguridad sin ley general — https://ciberlatam.com/noticias/peru-avanza-ciberseguridad-ley-general</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Proyecto de Ley 08842/2024-CR (comité de alto nivel de ciberseguridad) — ficha vLex — https://vlex.com.pe/vid/proyecto-ley-n-08842-1049124277</w:t>
      </w:r>
    </w:p>
    <w:p>
      <w:pPr>
        <w:pStyle w:val="ListBullet"/>
      </w:pPr>
      <w:r>
        <w:t>Proyecto de Ley 9906/2024-CR, Ley de Seguridad Digital o Ciberseguridad (copia LP Derecho) — https://img.lpderecho.pe/wp-content/uploads/2025/01/Proyecto-de-Ley-9906-2024-CR-LPDerecho_.pdf</w:t>
      </w:r>
    </w:p>
    <w:p>
      <w:r>
        <w:t>Fuente: Agenda Legislativa Tech Perú 2026–2031 (https://unimauro.github.io/agenda-legislativa-tech/p/CIB-01.html),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Marco de Ciberseguridad que crea la Agencia Nacional de Ciberseguridad y el Sistema Nacional de Equipos de Respuesta ante Incidentes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