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VENTANILLA ÚNICA Y LOS PLAZOS ESCALONADOS PARA LA NOTIFICACIÓN OBLIGATORIA DE INCIDENTES DE CIBERSEGURIDAD</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VENTANILLA ÚNICA Y LOS PLAZOS ESCALONADOS PARA LA NOTIFICACIÓN OBLIGATORIA DE INCIDENTES DE CIBERSEGURIDAD</w:t>
      </w:r>
    </w:p>
    <w:p>
      <w:pPr>
        <w:jc w:val="both"/>
      </w:pPr>
      <w:r>
        <w:rPr>
          <w:b/>
        </w:rPr>
        <w:t>Artículo 1. Objeto</w:t>
        <w:br/>
      </w:r>
      <w:r>
        <w:t>La presente ley tiene por objeto establecer la ventanilla única de notificación de incidentes de ciberseguridad, los plazos escalonados de notificación y las garantías aplicables a la información notificada.</w:t>
      </w:r>
    </w:p>
    <w:p>
      <w:pPr>
        <w:jc w:val="both"/>
      </w:pPr>
      <w:r>
        <w:rPr>
          <w:b/>
        </w:rPr>
        <w:t>Artículo 2. Sujetos obligados</w:t>
        <w:br/>
      </w:r>
      <w:r>
        <w:t>Están obligados a notificar las entidades de la administración pública, los operadores de servicios esenciales y los proveedores de servicios digitales comprendidos en el Decreto de Urgencia 007-2020 y su reglamento, así como los responsables de bancos de datos personales respecto de incidentes que afecten datos personales.</w:t>
      </w:r>
    </w:p>
    <w:p>
      <w:pPr>
        <w:jc w:val="both"/>
      </w:pPr>
      <w:r>
        <w:rPr>
          <w:b/>
        </w:rPr>
        <w:t>Artículo 3. Ventanilla única</w:t>
        <w:br/>
      </w:r>
      <w:r>
        <w:t>La Presidencia del Consejo de Ministros, a través del Centro Nacional de Seguridad Digital o del órgano que haga sus veces, implementa una plataforma digital única de notificación. La notificación efectuada a través de ella se tiene por cumplida ante la Autoridad Nacional de Protección de Datos Personales, la Superintendencia de Banca, Seguros y AFP, el OSIPTEL y demás supervisores, a quienes la plataforma remite automáticamente la información de su competencia.</w:t>
      </w:r>
    </w:p>
    <w:p>
      <w:pPr>
        <w:jc w:val="both"/>
      </w:pPr>
      <w:r>
        <w:rPr>
          <w:b/>
        </w:rPr>
        <w:t>Artículo 4. Plazos escalonados</w:t>
        <w:br/>
      </w:r>
      <w:r>
        <w:t>Ante un incidente significativo, el sujeto obligado presenta: a) una alerta temprana dentro de las 24 horas de haber tomado conocimiento, indicando si se sospecha de un acto ilícito; b) una notificación del incidente dentro de las 72 horas, con evaluación inicial de gravedad, impacto e indicadores de compromiso; y c) un informe final dentro de los 30 días calendario, con causa raíz y medidas adoptadas. Cuando una norma sectorial establezca un plazo menor, prevalece este.</w:t>
      </w:r>
    </w:p>
    <w:p>
      <w:pPr>
        <w:jc w:val="both"/>
      </w:pPr>
      <w:r>
        <w:rPr>
          <w:b/>
        </w:rPr>
        <w:t>Artículo 5. Incidente significativo</w:t>
        <w:br/>
      </w:r>
      <w:r>
        <w:t>Se considera significativo el incidente que causa o puede causar una perturbación operativa grave del servicio, pérdidas económicas relevantes o daños materiales o inmateriales considerables a terceros. El reglamento fija umbrales objetivos por sector.</w:t>
      </w:r>
    </w:p>
    <w:p>
      <w:pPr>
        <w:jc w:val="both"/>
      </w:pPr>
      <w:r>
        <w:rPr>
          <w:b/>
        </w:rPr>
        <w:t>Artículo 6. Comunicación a afectados</w:t>
        <w:br/>
      </w:r>
      <w:r>
        <w:t>Cuando el incidente pueda afectar derechos o intereses de los usuarios, el sujeto obligado les comunica, sin dilación indebida y por medios directos, la naturaleza del incidente y las medidas de protección recomendadas, sin perjuicio de lo dispuesto en la Ley 29733 y su reglamento.</w:t>
      </w:r>
    </w:p>
    <w:p>
      <w:pPr>
        <w:jc w:val="both"/>
      </w:pPr>
      <w:r>
        <w:rPr>
          <w:b/>
        </w:rPr>
        <w:t>Artículo 7. Confidencialidad y uso de la información</w:t>
        <w:br/>
      </w:r>
      <w:r>
        <w:t>La información notificada tiene carácter confidencial, se utiliza exclusivamente para fines de respuesta, prevención, estadística y supervisión, y no puede ser utilizada como única prueba para imponer sanciones por la ocurrencia del incidente. Se exceptúa de esta garantía la falta de notificación o la notificación falsa.</w:t>
      </w:r>
    </w:p>
    <w:p>
      <w:pPr>
        <w:jc w:val="both"/>
      </w:pPr>
      <w:r>
        <w:rPr>
          <w:b/>
        </w:rPr>
        <w:t>Artículo 8. Retroalimentación y alertas</w:t>
        <w:br/>
      </w:r>
      <w:r>
        <w:t>El Centro Nacional de Seguridad Digital emite al notificante una respuesta inicial dentro de las 24 horas siguientes a la alerta temprana y difunde alertas anonimizadas a otros sujetos potencialmente afectados.</w:t>
      </w:r>
    </w:p>
    <w:p>
      <w:pPr>
        <w:jc w:val="both"/>
      </w:pPr>
      <w:r>
        <w:rPr>
          <w:b/>
        </w:rPr>
        <w:t>Artículo 9. Informe público anual</w:t>
        <w:br/>
      </w:r>
      <w:r>
        <w:t>El Centro Nacional de Seguridad Digital publica un informe anual con estadísticas agregadas y anonimizadas de incidentes por sector, tipo y región, en formato de datos abiertos.</w:t>
      </w:r>
    </w:p>
    <w:p>
      <w:pPr>
        <w:jc w:val="both"/>
      </w:pPr>
      <w:r>
        <w:rPr>
          <w:b/>
        </w:rPr>
        <w:t>Primera. Disposición Complementaria Final</w:t>
        <w:br/>
      </w:r>
      <w:r>
        <w:t>Reglamentación. El Poder Ejecutivo, mediante decreto supremo refrendado por el Presidente del Consejo de Ministros y el Ministro de Justicia y Derechos Humanos, reglamenta la presente ley en un plazo no mayor de 90 días hábiles contados desde su entrada en vigencia.</w:t>
      </w:r>
    </w:p>
    <w:p>
      <w:pPr>
        <w:jc w:val="both"/>
      </w:pPr>
      <w:r>
        <w:rPr>
          <w:b/>
        </w:rPr>
        <w:t>Segunda. Disposición Complementaria Final</w:t>
        <w:br/>
      </w:r>
      <w:r>
        <w:t>Implementación de la plataforma. La ventanilla única se implementa en un plazo de 12 meses; mientras tanto, rigen los canales vigentes.</w:t>
      </w:r>
    </w:p>
    <w:p>
      <w:pPr>
        <w:jc w:val="both"/>
      </w:pPr>
      <w:r>
        <w:rPr>
          <w:b/>
        </w:rPr>
        <w:t>Tercera. Disposición Complementaria Final</w:t>
        <w:br/>
      </w:r>
      <w:r>
        <w:t>Financiamiento. La implementación de la presente ley se financia con cargo al presupuesto institucional de la Presidencia del Consejo de Ministros,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Las organizaciones peruanas enfrentan regímenes paralelos de notificación de incidentes. El Decreto Supremo 126-2025-PCM exige notificar los incidentes críticos al Centro Nacional de Seguridad Digital en un plazo no mayor de 48 horas, mientras que el Decreto Supremo 016-2024-JUS exige notificar los incidentes de seguridad de datos personales a la Autoridad Nacional de Protección de Datos Personales también en 48 horas (El Peruano, 27-3-2026). En el sistema financiero, la Resolución SBS 504-2021 obliga a reportar incidentes significativos a la SBS sin plazo fijo. Según Apaxi (2026), los plazos para incidentes no críticos dependen aún de instrumentos pendientes. Un mismo evento puede requerir tres o más reportes con formatos distintos, lo que consume tiempo crítico durante la respuesta y genera información inconsistente para el Estado. Además, no existe garantía legal de que la información notificada no será usada para autoincriminación ni divulgada indebidamente, lo que desalienta el reporte. Sin datos consolidados, el país no puede medir tendencias ni emitir alertas oportunas a otras organizaciones expuestas a la misma amenaza.</w:t>
      </w:r>
    </w:p>
    <w:p>
      <w:pPr>
        <w:pStyle w:val="Heading2"/>
      </w:pPr>
      <w:r>
        <w:t>II. Objeto</w:t>
      </w:r>
    </w:p>
    <w:p>
      <w:pPr>
        <w:jc w:val="both"/>
      </w:pPr>
      <w:r>
        <w:t>Crear una ventanilla única de notificación de incidentes de ciberseguridad con plazos escalonados y garantías de confidencialidad.</w:t>
      </w:r>
    </w:p>
    <w:p>
      <w:pPr>
        <w:pStyle w:val="Heading2"/>
      </w:pPr>
      <w:r>
        <w:t>III. Análisis costo-beneficio</w:t>
      </w:r>
    </w:p>
    <w:p>
      <w:pPr>
        <w:jc w:val="both"/>
      </w:pPr>
      <w:r>
        <w:t>Gasto público bajo: el desarrollo de la plataforma y su interoperabilidad con supervisores se financia con el presupuesto de la Presidencia del Consejo de Ministros. Para las empresas, reduce costos de cumplimiento al sustituir varios reportes por uno solo. El esquema 24h/72h/30 días es más exigente en la alerta inicial que el régimen actual de 48 horas y permite información de mejor calidad en el informe final. El beneficio principal es contar con datos consolidados para alertas tempranas y política pública, hoy inexistentes en formato abierto. La garantía de confidencialidad incentiva el reporte sin restar capacidad sancionadora frente a la omisión.</w:t>
      </w:r>
    </w:p>
    <w:p>
      <w:pPr>
        <w:pStyle w:val="Heading2"/>
      </w:pPr>
      <w:r>
        <w:t>IV. Efecto de la vigencia de la norma sobre la legislación nacional</w:t>
      </w:r>
    </w:p>
    <w:p>
      <w:pPr>
        <w:jc w:val="both"/>
      </w:pPr>
      <w:r>
        <w:t>Complementa el Decreto de Urgencia 007-2020 y el Decreto Supremo 126-2025-PCM; complementa la Ley 29733 y el Decreto Supremo 016-2024-JUS en cuanto al canal de notificación; no deroga plazos sectoriales más breves.</w:t>
      </w:r>
    </w:p>
    <w:p>
      <w:pPr>
        <w:pStyle w:val="Heading2"/>
      </w:pPr>
      <w:r>
        <w:t>V. Antecedentes</w:t>
      </w:r>
    </w:p>
    <w:p>
      <w:pPr>
        <w:jc w:val="both"/>
      </w:pPr>
      <w:r>
        <w:t>Por verificar en SPLEY.</w:t>
      </w:r>
    </w:p>
    <w:p>
      <w:pPr>
        <w:pStyle w:val="Heading2"/>
      </w:pPr>
      <w:r>
        <w:t>VI. Indicador de éxito</w:t>
      </w:r>
    </w:p>
    <w:p>
      <w:pPr>
        <w:jc w:val="both"/>
      </w:pPr>
      <w:r>
        <w:t>A 2028, ventanilla única operativa e interoperable con ANPD, SBS y OSIPTEL; desde 2028, informe anual de incidentes publicado en datos abiertos.</w:t>
      </w:r>
    </w:p>
    <w:p>
      <w:pPr>
        <w:pStyle w:val="Heading2"/>
      </w:pPr>
      <w:r>
        <w:t>VII. Vinculación con la Agenda Legislativa y el Plan Perú 2050</w:t>
      </w:r>
    </w:p>
    <w:p>
      <w:r>
        <w:t>Comisiones temáticas del Plan Perú 2050: Ciber Seguridad, Transformación Digital. ODS: 9, 16.</w:t>
      </w:r>
    </w:p>
    <w:p>
      <w:pPr>
        <w:pStyle w:val="Heading2"/>
      </w:pPr>
      <w:r>
        <w:t>VIII. Referencias</w:t>
      </w:r>
    </w:p>
    <w:p>
      <w:pPr>
        <w:pStyle w:val="ListBullet"/>
      </w:pPr>
      <w:r>
        <w:t>Decreto Supremo 126-2025-PCM, Reglamento del Decreto de Urgencia 007-2020 (Marco de Confianza Digital) — https://busquedas.elperuano.pe/dispositivo/EX/2455024-1</w:t>
      </w:r>
    </w:p>
    <w:p>
      <w:pPr>
        <w:pStyle w:val="ListBullet"/>
      </w:pPr>
      <w:r>
        <w:t>Decreto Supremo 016-2024-JUS, Reglamento de la Ley 29733 — https://www.gob.pe/institucion/smv/normas-legales/6426760-016-2024-jus</w:t>
      </w:r>
    </w:p>
    <w:p>
      <w:pPr>
        <w:pStyle w:val="ListBullet"/>
      </w:pPr>
      <w:r>
        <w:t>Ley 29733, Ley de Protección de Datos Personales — https://www.leyes.congreso.gob.pe/Documentos/Leyes/29733.pdf</w:t>
      </w:r>
    </w:p>
    <w:p>
      <w:pPr>
        <w:pStyle w:val="ListBullet"/>
      </w:pPr>
      <w:r>
        <w:t>Resolución SBS 504-2021, Reglamento para la Gestión de la Seguridad de la Información y la Ciberseguridad — https://busquedas.elperuano.pe/dispositivo/NL/1929393-1</w:t>
      </w:r>
    </w:p>
    <w:p>
      <w:pPr>
        <w:pStyle w:val="ListBullet"/>
      </w:pPr>
      <w:r>
        <w:t>Decreto de Urgencia 007-2020, que aprueba el Marco de Confianza Digital y dispone medidas para su fortalecimiento — https://www.gob.pe/institucion/pcm/normas-legales/395322-007-2020</w:t>
      </w:r>
    </w:p>
    <w:p>
      <w:pPr>
        <w:pStyle w:val="ListBullet"/>
      </w:pPr>
      <w:r>
        <w:t>Unión Europea: Directiva (UE) 2022/2555 (NIS2), medidas para un elevado nivel común de ciberseguridad — https://eur-lex.europa.eu/eli/dir/2022/2555/oj</w:t>
      </w:r>
    </w:p>
    <w:p>
      <w:pPr>
        <w:pStyle w:val="ListBullet"/>
      </w:pPr>
      <w:r>
        <w:t>Estados Unidos: Cyber Incident Reporting for Critical Infrastructure Act of 2022 (CIRCIA) — https://www.cisa.gov/topics/cyber-threats-and-advisories/information-sharing/cyber-incident-reporting-critical-infrastructure-act-2022-circia</w:t>
      </w:r>
    </w:p>
    <w:p>
      <w:pPr>
        <w:pStyle w:val="ListBullet"/>
      </w:pPr>
      <w:r>
        <w:t>Chile: Ley 21.663, Ley Marco de Ciberseguridad (crea la Agencia Nacional de Ciberseguridad y CSIRT) — https://www.bcn.cl/leychile/navegar?idNorma=1202434</w:t>
      </w:r>
    </w:p>
    <w:p>
      <w:pPr>
        <w:pStyle w:val="ListBullet"/>
      </w:pPr>
      <w:r>
        <w:t>El Peruano (27-03-2026): Incidente de seguridad digital o de datos personales — doble régimen de notificación — https://elperuano.pe/noticia/292188-incidente-de-seguridad-digital-o-de-datos-personales</w:t>
      </w:r>
    </w:p>
    <w:p>
      <w:pPr>
        <w:pStyle w:val="ListBullet"/>
      </w:pPr>
      <w:r>
        <w:t>Apaxi (07-09-2026): Normas de ciberseguridad para empresas en el Perú — https://apaxi.info/2026/09/07/normas-ciberseguridad-empresas-peru/</w:t>
      </w:r>
    </w:p>
    <w:p>
      <w:pPr>
        <w:pStyle w:val="ListBullet"/>
      </w:pPr>
      <w:r>
        <w:t>gob.pe: Reportar incidentes de seguridad digital (Centro Nacional de Seguridad Digital) — https://www.gob.pe/14084-reportar-incidentes-de-seguridad-digital</w:t>
      </w:r>
    </w:p>
    <w:p>
      <w:pPr>
        <w:pStyle w:val="ListBullet"/>
      </w:pPr>
      <w:r>
        <w:t>EY Perú: Reglamento del Marco de Confianza Digital (DS 126-2025-PCM) — https://www.ey.com/es_pe/technical/tax-alert/reglamento-ley-marco-confianza-digital-medidas-fortalecimiento</w:t>
      </w:r>
    </w:p>
    <w:p>
      <w:r>
        <w:t>Fuente: Agenda Legislativa Tech Perú 2026–2031 (https://unimauro.github.io/agenda-legislativa-tech/p/CIB-03.html),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ventanilla única y los plazos escalonados para la notificación obligatoria de incidentes de ciberseguridad</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