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ESTABLECE EL RÉGIMEN DE RESPONSABILIDAD COMPARTIDA Y REEMBOLSO A VÍCTIMAS DE FRAUDE DIGITAL ENTRE ENTIDADES FINANCIERAS Y EMPRESAS DE TELECOMUNICACIONES</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ESTABLECE EL RÉGIMEN DE RESPONSABILIDAD COMPARTIDA Y REEMBOLSO A VÍCTIMAS DE FRAUDE DIGITAL ENTRE ENTIDADES FINANCIERAS Y EMPRESAS DE TELECOMUNICACIONES</w:t>
      </w:r>
    </w:p>
    <w:p>
      <w:pPr>
        <w:jc w:val="both"/>
      </w:pPr>
      <w:r>
        <w:rPr>
          <w:b/>
        </w:rPr>
        <w:t>Artículo 1. Objeto</w:t>
        <w:br/>
      </w:r>
      <w:r>
        <w:t>La presente ley tiene por objeto establecer un régimen de responsabilidad compartida entre las empresas del sistema financiero, emisoras de dinero electrónico y operadores de servicios públicos móviles frente al fraude digital que afecta a usuarios, así como las reglas de reembolso a las víctimas.</w:t>
      </w:r>
    </w:p>
    <w:p>
      <w:pPr>
        <w:jc w:val="both"/>
      </w:pPr>
      <w:r>
        <w:rPr>
          <w:b/>
        </w:rPr>
        <w:t>Artículo 2. Definiciones</w:t>
        <w:br/>
      </w:r>
      <w:r>
        <w:t>Para efectos de la presente ley: a) fraude digital es la operación de pago o transferencia no autorizada o inducida mediante engaño a través de canales digitales; b) entidad obligada es la empresa supervisada por la Superintendencia de Banca, Seguros y AFP que ofrece canales digitales de pago o transferencia; c) operador móvil es la empresa concesionaria de servicios públicos móviles.</w:t>
      </w:r>
    </w:p>
    <w:p>
      <w:pPr>
        <w:jc w:val="both"/>
      </w:pPr>
      <w:r>
        <w:rPr>
          <w:b/>
        </w:rPr>
        <w:t>Artículo 3. Deberes de las entidades obligadas</w:t>
        <w:br/>
      </w:r>
      <w:r>
        <w:t>Las entidades obligadas: a) aplican autenticación reforzada en operaciones de riesgo y en el registro de nuevos dispositivos o beneficiarios; b) aplican un periodo de espera configurable antes de habilitar operaciones de alto monto desde un dispositivo nuevo; c) notifican en tiempo real al usuario cada operación y cambio de credenciales; d) mantienen un canal de bloqueo inmediato disponible las 24 horas; y e) implementan monitoreo transaccional para detectar patrones de fraude.</w:t>
      </w:r>
    </w:p>
    <w:p>
      <w:pPr>
        <w:jc w:val="both"/>
      </w:pPr>
      <w:r>
        <w:rPr>
          <w:b/>
        </w:rPr>
        <w:t>Artículo 4. Deberes de los operadores móviles</w:t>
        <w:br/>
      </w:r>
      <w:r>
        <w:t>Los operadores móviles: a) verifican la identidad del titular mediante validación biométrica u otro mecanismo de nivel de garantía equivalente antes de cualquier reposición, duplicado o portabilidad de chip; b) ponen a disposición de las entidades obligadas, mediante interfaces seguras y con consentimiento del usuario, la señal de cambio reciente de chip; y c) bloquean el envío de mensajes de texto con identificadores alfanuméricos no registrados conforme a la normativa del sector.</w:t>
      </w:r>
    </w:p>
    <w:p>
      <w:pPr>
        <w:jc w:val="both"/>
      </w:pPr>
      <w:r>
        <w:rPr>
          <w:b/>
        </w:rPr>
        <w:t>Artículo 5. Reembolso por incumplimiento de deberes</w:t>
        <w:br/>
      </w:r>
      <w:r>
        <w:t>Cuando la entidad obligada o el operador móvil haya incumplido alguno de los deberes de los artículos 3 o 4 y dicho incumplimiento haya contribuido al fraude, reembolsa a la víctima el monto defraudado. Si ambos incumplieron, responden en el orden y proporción que establezca el reglamento, sin que ello retrase el reembolso al usuario, que se efectúa por la entidad obligada con derecho de repetición.</w:t>
      </w:r>
    </w:p>
    <w:p>
      <w:pPr>
        <w:jc w:val="both"/>
      </w:pPr>
      <w:r>
        <w:rPr>
          <w:b/>
        </w:rPr>
        <w:t>Artículo 6. Plazos</w:t>
        <w:br/>
      </w:r>
      <w:r>
        <w:t>La entidad obligada resuelve el reclamo por fraude digital en un plazo máximo de 15 días hábiles y, de corresponder, efectúa el reembolso dentro de los 5 días hábiles siguientes. La falta de respuesta en plazo se entiende como aceptación del reclamo.</w:t>
      </w:r>
    </w:p>
    <w:p>
      <w:pPr>
        <w:jc w:val="both"/>
      </w:pPr>
      <w:r>
        <w:rPr>
          <w:b/>
        </w:rPr>
        <w:t>Artículo 7. Negligencia grave del usuario</w:t>
        <w:br/>
      </w:r>
      <w:r>
        <w:t>No procede el reembolso cuando la entidad acredite que el usuario actuó con negligencia grave o dolo, sin que la sola entrega de credenciales inducida por engaño sofisticado se presuma negligencia grave. La carga de la prueba corresponde a la entidad.</w:t>
      </w:r>
    </w:p>
    <w:p>
      <w:pPr>
        <w:jc w:val="both"/>
      </w:pPr>
      <w:r>
        <w:rPr>
          <w:b/>
        </w:rPr>
        <w:t>Artículo 8. Intercambio de información antifraude</w:t>
        <w:br/>
      </w:r>
      <w:r>
        <w:t>Las entidades obligadas y los operadores móviles pueden compartir, a través de un mecanismo supervisado por la Superintendencia de Banca, Seguros y AFP, información sobre cuentas receptoras de fondos fraudulentos y números utilizados para fraude, con sujeción a la Ley 29733.</w:t>
      </w:r>
    </w:p>
    <w:p>
      <w:pPr>
        <w:jc w:val="both"/>
      </w:pPr>
      <w:r>
        <w:rPr>
          <w:b/>
        </w:rPr>
        <w:t>Artículo 9. Supervisión</w:t>
        <w:br/>
      </w:r>
      <w:r>
        <w:t>La Superintendencia de Banca, Seguros y AFP supervisa el cumplimiento de los deberes de las entidades obligadas y el OSIPTEL el de los operadores móviles; Indecopi conoce las controversias de consumo conforme a la Ley 29571.</w:t>
      </w:r>
    </w:p>
    <w:p>
      <w:pPr>
        <w:jc w:val="both"/>
      </w:pPr>
      <w:r>
        <w:rPr>
          <w:b/>
        </w:rPr>
        <w:t>Primera. Disposición Complementaria Final</w:t>
        <w:br/>
      </w:r>
      <w:r>
        <w:t>Reglamentación. El Poder Ejecutivo, mediante decreto supremo refrendado por el Ministro de Economía y Finanzas y el Ministro de Transportes y Comunicaciones, previa opinión de la Superintendencia de Banca, Seguros y AFP y del OSIPTEL, reglamenta la presente ley en un plazo no mayor de 120 días hábiles contados desde su entrada en vigencia.</w:t>
      </w:r>
    </w:p>
    <w:p>
      <w:pPr>
        <w:jc w:val="both"/>
      </w:pPr>
      <w:r>
        <w:rPr>
          <w:b/>
        </w:rPr>
        <w:t>Segunda. Disposición Complementaria Final</w:t>
        <w:br/>
      </w:r>
      <w:r>
        <w:t>Vigencia diferida. Los artículos 5 y 6 entran en vigencia a los 12 meses de publicada la presente ley, para permitir la adecuación tecnológica.</w:t>
      </w:r>
    </w:p>
    <w:p>
      <w:pPr>
        <w:jc w:val="both"/>
      </w:pPr>
      <w:r>
        <w:rPr>
          <w:b/>
        </w:rPr>
        <w:t>Tercera. Disposición Complementaria Final</w:t>
        <w:br/>
      </w:r>
      <w:r>
        <w:t>Informe anual. La Superintendencia de Banca, Seguros y AFP publica anualmente estadísticas de reclamos por fraude digital, montos reembolsados y tiempos de atención por entidad.</w:t>
      </w:r>
    </w:p>
    <w:p>
      <w:r>
        <w:t>Lima, ___ de __________ de 20__</w:t>
      </w:r>
    </w:p>
    <w:p>
      <w:r>
        <w:br w:type="page"/>
      </w:r>
    </w:p>
    <w:p>
      <w:pPr>
        <w:pStyle w:val="Heading1"/>
      </w:pPr>
      <w:r>
        <w:t>EXPOSICIÓN DE MOTIVOS</w:t>
      </w:r>
    </w:p>
    <w:p>
      <w:pPr>
        <w:pStyle w:val="Heading2"/>
      </w:pPr>
      <w:r>
        <w:t>I. Fundamentos y problema</w:t>
      </w:r>
    </w:p>
    <w:p>
      <w:pPr>
        <w:jc w:val="both"/>
      </w:pPr>
      <w:r>
        <w:t>El fraude informático es el delito informático más denunciado en el país: 19 602 denuncias entre enero y julio de 2026, según el Ministerio Público (El Peruano, 2-9-2026). Las víctimas que reclaman por operaciones no reconocidas dependen de que la entidad demuestre haber aplicado medidas de seguridad; si no lo acredita, Indecopi puede ordenar el reembolso, pero el proceso es largo y el resultado incierto (Gestión). La Resolución SBS 504-2021 exige autenticación reforzada y establece que ciertas operaciones procesadas bajo exenciones son responsabilidad de la empresa, pero no existe una regla legal general que distribuya la pérdida entre banco, operador móvil y cliente cuando el fraude combina ingeniería social, duplicado de chip y transferencias inmediatas. Tampoco existe obligación legal de que los operadores móviles compartan señales de riesgo, como un cambio reciente de chip, con las entidades financieras. Singapur (2024), Reino Unido y Australia (2025) adoptaron marcos de responsabilidad compartida con deberes concretos y reembolsos cuando se incumplen. El proyecto 10054/2024-CR abordó parcialmente las transferencias erróneas, no el fraude.</w:t>
      </w:r>
    </w:p>
    <w:p>
      <w:pPr>
        <w:pStyle w:val="Heading2"/>
      </w:pPr>
      <w:r>
        <w:t>II. Objeto</w:t>
      </w:r>
    </w:p>
    <w:p>
      <w:pPr>
        <w:jc w:val="both"/>
      </w:pPr>
      <w:r>
        <w:t>Establecer deberes antifraude, plazos de atención y reglas de reembolso a víctimas de fraude digital.</w:t>
      </w:r>
    </w:p>
    <w:p>
      <w:pPr>
        <w:pStyle w:val="Heading2"/>
      </w:pPr>
      <w:r>
        <w:t>III. Análisis costo-beneficio</w:t>
      </w:r>
    </w:p>
    <w:p>
      <w:pPr>
        <w:jc w:val="both"/>
      </w:pPr>
      <w:r>
        <w:t>No genera gasto público: la supervisión se realiza con recursos de la SBS, el OSIPTEL e Indecopi. El costo se traslada a las entidades financieras y operadores que incumplan deberes, lo que alinea incentivos: quien puede prevenir el fraude con menor costo asume la pérdida cuando no lo hace. Puede generar mayores costos operativos (biometría, monitoreo, interfaces), parcialmente ya exigidos por la Resolución SBS 504-2021. El riesgo de riesgo moral del usuario se mitiga con la excepción de negligencia grave. El beneficio es la reducción de pérdidas de las familias, menor litigiosidad ante Indecopi y mayor confianza en los pagos digitales.</w:t>
      </w:r>
    </w:p>
    <w:p>
      <w:pPr>
        <w:pStyle w:val="Heading2"/>
      </w:pPr>
      <w:r>
        <w:t>IV. Efecto de la vigencia de la norma sobre la legislación nacional</w:t>
      </w:r>
    </w:p>
    <w:p>
      <w:pPr>
        <w:jc w:val="both"/>
      </w:pPr>
      <w:r>
        <w:t>Complementa la Ley 29571 y la Resolución SBS 504-2021; complementa el Decreto Legislativo 1338 en lo relativo a verificación de identidad en servicios móviles. No modifica la Ley 30096.</w:t>
      </w:r>
    </w:p>
    <w:p>
      <w:pPr>
        <w:pStyle w:val="Heading2"/>
      </w:pPr>
      <w:r>
        <w:t>V. Antecedentes</w:t>
      </w:r>
    </w:p>
    <w:p>
      <w:pPr>
        <w:jc w:val="both"/>
      </w:pPr>
      <w:r>
        <w:t>Proyecto 10054/2024-CR (devolución por transferencias erróneas en aplicativos), relacionado parcialmente; su estado debe verificarse en SPLEY.</w:t>
      </w:r>
    </w:p>
    <w:p>
      <w:pPr>
        <w:pStyle w:val="Heading2"/>
      </w:pPr>
      <w:r>
        <w:t>VI. Indicador de éxito</w:t>
      </w:r>
    </w:p>
    <w:p>
      <w:pPr>
        <w:jc w:val="both"/>
      </w:pPr>
      <w:r>
        <w:t>A 2031, tiempo promedio de resolución de reclamos por fraude digital menor a 15 días hábiles y estadística anual publicada por la SBS por entidad.</w:t>
      </w:r>
    </w:p>
    <w:p>
      <w:pPr>
        <w:pStyle w:val="Heading2"/>
      </w:pPr>
      <w:r>
        <w:t>VII. Vinculación con la Agenda Legislativa y el Plan Perú 2050</w:t>
      </w:r>
    </w:p>
    <w:p>
      <w:r>
        <w:t>Comisiones temáticas del Plan Perú 2050: Banca, Ciber Seguridad, Orden Público y Seguridad. ODS: 10, 16.</w:t>
      </w:r>
    </w:p>
    <w:p>
      <w:pPr>
        <w:pStyle w:val="Heading2"/>
      </w:pPr>
      <w:r>
        <w:t>VIII. Referencias</w:t>
      </w:r>
    </w:p>
    <w:p>
      <w:pPr>
        <w:pStyle w:val="ListBullet"/>
      </w:pPr>
      <w:r>
        <w:t>Resolución SBS 504-2021, Reglamento para la Gestión de la Seguridad de la Información y la Ciberseguridad — https://busquedas.elperuano.pe/dispositivo/NL/1929393-1</w:t>
      </w:r>
    </w:p>
    <w:p>
      <w:pPr>
        <w:pStyle w:val="ListBullet"/>
      </w:pPr>
      <w:r>
        <w:t>Ley 29571, Código de Protección y Defensa del Consumidor — https://www.leyes.congreso.gob.pe/Documentos/Leyes/29571.pdf</w:t>
      </w:r>
    </w:p>
    <w:p>
      <w:pPr>
        <w:pStyle w:val="ListBullet"/>
      </w:pPr>
      <w:r>
        <w:t>Ley 29733, Ley de Protección de Datos Personales — https://www.leyes.congreso.gob.pe/Documentos/Leyes/29733.pdf</w:t>
      </w:r>
    </w:p>
    <w:p>
      <w:pPr>
        <w:pStyle w:val="ListBullet"/>
      </w:pPr>
      <w:r>
        <w:t>Decreto Legislativo 1338, que crea el Registro Nacional de Equipos Terminales Móviles para la Seguridad (RENTESEG) — https://www.osiptel.gob.pe/media/2auoulvc/dl-1338.pdf</w:t>
      </w:r>
    </w:p>
    <w:p>
      <w:pPr>
        <w:pStyle w:val="ListBullet"/>
      </w:pPr>
      <w:r>
        <w:t>Ley 30096, Ley de Delitos Informáticos (2013) — https://busquedas.elperuano.pe/dispositivo/NL/1003117-1</w:t>
      </w:r>
    </w:p>
    <w:p>
      <w:pPr>
        <w:pStyle w:val="ListBullet"/>
      </w:pPr>
      <w:r>
        <w:t>Singapur: Shared Responsibility Framework for Phishing Scams (MAS e IMDA) — https://www.mas.gov.sg/news/media-releases/2023/mas-and-imda-consult-on-shared-responsibility-framework-for-phishing-scams</w:t>
      </w:r>
    </w:p>
    <w:p>
      <w:pPr>
        <w:pStyle w:val="ListBullet"/>
      </w:pPr>
      <w:r>
        <w:t>Australia: Scams Prevention Framework Act 2025 — https://www.legislation.gov.au/C2025A00015</w:t>
      </w:r>
    </w:p>
    <w:p>
      <w:pPr>
        <w:pStyle w:val="ListBullet"/>
      </w:pPr>
      <w:r>
        <w:t>Brasil: Lei 14.155/2021 (agrava fraude electrónico e invasión de dispositivo informático) — https://www.planalto.gov.br/ccivil_03/_ato2019-2022/2021/lei/L14155.htm</w:t>
      </w:r>
    </w:p>
    <w:p>
      <w:pPr>
        <w:pStyle w:val="ListBullet"/>
      </w:pPr>
      <w:r>
        <w:t>El Peruano (02-09-2026): Ciberdelitos más denunciados en el Perú — 29 118 denuncias ene-jul 2026 según el Ministerio Público — https://elperuano.pe/noticia/303867-ciberdelitos-mas-denunciados-en-el-peru</w:t>
      </w:r>
    </w:p>
    <w:p>
      <w:pPr>
        <w:pStyle w:val="ListBullet"/>
      </w:pPr>
      <w:r>
        <w:t>Gestión: operaciones bancarias no reconocidas, en qué casos pueden ser reembolsadas — https://gestion.pe/tu-dinero/finanzas-personales/operaciones-bancarias-no-reconocidas-por-clientes-en-que-casos-pueden-ser-reembolsadas-bancos-en-peru-sanciones-de-indecopi-noticia/</w:t>
      </w:r>
    </w:p>
    <w:p>
      <w:pPr>
        <w:pStyle w:val="ListBullet"/>
      </w:pPr>
      <w:r>
        <w:t>Proyecto de Ley 10054/2024-CR, transferencias erróneas por aplicativos (copia LP Derecho) — https://img.lpderecho.pe/wp-content/uploads/2025/01/Proyecto-de-Ley-10054-2024-CR-LPDerecho_.pdf</w:t>
      </w:r>
    </w:p>
    <w:p>
      <w:pPr>
        <w:pStyle w:val="ListBullet"/>
      </w:pPr>
      <w:r>
        <w:t>Apaxi (07-09-2026): Normas de ciberseguridad para empresas en el Perú — https://apaxi.info/2026/09/07/normas-ciberseguridad-empresas-peru/</w:t>
      </w:r>
    </w:p>
    <w:p>
      <w:r>
        <w:t>Fuente: Agenda Legislativa Tech Perú 2026–2031 (https://unimauro.github.io/agenda-legislativa-tech/p/CIB-05.html),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establece el régimen de responsabilidad compartida y reembolso a víctimas de fraude digital entre entidades financieras y empresas de telecomunicaciones</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