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MODIFICA LA LEY 27269, LEY DE FIRMAS Y CERTIFICADOS DIGITALES, PARA HABILITAR LA FIRMA DIGITAL REMOTA Y SU GRATUIDAD PARA PERSONAS NATURALES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MODIFICA LA LEY 27269, LEY DE FIRMAS Y CERTIFICADOS DIGITALES, PARA HABILITAR LA FIRMA DIGITAL REMOTA Y SU GRATUIDAD PARA PERSONAS NATURALES</w:t>
      </w:r>
    </w:p>
    <w:p>
      <w:pPr>
        <w:jc w:val="both"/>
      </w:pPr>
      <w:r>
        <w:rPr>
          <w:b/>
        </w:rPr>
        <w:t>Artículo 1. Objeto</w:t>
        <w:br/>
      </w:r>
      <w:r>
        <w:t>La presente ley tiene por objeto modificar la Ley 27269, Ley de Firmas y Certificados Digitales, para reconocer la firma digital remota y garantizar el acceso gratuito de las personas naturales a un certificado de firma digital.</w:t>
      </w:r>
    </w:p>
    <w:p>
      <w:pPr>
        <w:jc w:val="both"/>
      </w:pPr>
      <w:r>
        <w:rPr>
          <w:b/>
        </w:rPr>
        <w:t>Artículo 2. Incorporación del artículo 3-A a la Ley 27269</w:t>
        <w:br/>
      </w:r>
      <w:r>
        <w:t>Incorpórase el artículo 3-A a la Ley 27269, en los siguientes términos: "Artículo 3-A. Firma digital remota. Tiene la misma validez y eficacia jurídica que la firma digital generada en un dispositivo en poder del titular la firma digital generada mediante un dispositivo seguro de creación de firma administrado por un prestador de servicios de certificación acreditado, siempre que el titular mantenga el control exclusivo de su activación mediante autenticación de nivel alto."</w:t>
      </w:r>
    </w:p>
    <w:p>
      <w:pPr>
        <w:jc w:val="both"/>
      </w:pPr>
      <w:r>
        <w:rPr>
          <w:b/>
        </w:rPr>
        <w:t>Artículo 3. Certificado gratuito para personas naturales</w:t>
        <w:br/>
      </w:r>
      <w:r>
        <w:t>El RENIEC, en su calidad de entidad de certificación del Estado, emite gratuitamente a toda persona natural mayor de edad que lo solicite un certificado de firma digital utilizable en modalidad remota, sin requerir la adquisición de lectores de tarjeta ni software de pago.</w:t>
      </w:r>
    </w:p>
    <w:p>
      <w:pPr>
        <w:jc w:val="both"/>
      </w:pPr>
      <w:r>
        <w:rPr>
          <w:b/>
        </w:rPr>
        <w:t>Artículo 4. Servicio público de validación</w:t>
        <w:br/>
      </w:r>
      <w:r>
        <w:t>La Autoridad Administrativa Competente pone a disposición un servicio gratuito en línea para validar firmas digitales y sellos de tiempo emitidos por prestadores acreditados nacionales y por prestadores extranjeros reconocidos.</w:t>
      </w:r>
    </w:p>
    <w:p>
      <w:pPr>
        <w:jc w:val="both"/>
      </w:pPr>
      <w:r>
        <w:rPr>
          <w:b/>
        </w:rPr>
        <w:t>Artículo 5. Aceptación obligatoria en el Estado</w:t>
        <w:br/>
      </w:r>
      <w:r>
        <w:t>Las entidades de la administración pública aceptan los documentos firmados digitalmente, incluidos los firmados en modalidad remota, sin exigir firma manuscrita, legalización ni presentación física adicional, salvo mandato legal expreso.</w:t>
      </w:r>
    </w:p>
    <w:p>
      <w:pPr>
        <w:jc w:val="both"/>
      </w:pPr>
      <w:r>
        <w:rPr>
          <w:b/>
        </w:rPr>
        <w:t>Artículo 6. Seguridad del servicio remoto</w:t>
        <w:br/>
      </w:r>
      <w:r>
        <w:t>Los prestadores que ofrezcan firma digital remota cumplen requisitos técnicos de seguridad, auditoría anual independiente y notificación de incidentes, conforme al reglamento, y responden por los daños derivados del incumplimiento de dichos requisitos.</w:t>
      </w:r>
    </w:p>
    <w:p>
      <w:pPr>
        <w:jc w:val="both"/>
      </w:pPr>
      <w:r>
        <w:rPr>
          <w:b/>
        </w:rPr>
        <w:t>Artículo 7. Reconocimiento transfronterizo</w:t>
        <w:br/>
      </w:r>
      <w:r>
        <w:t>El Poder Ejecutivo promueve acuerdos de reconocimiento mutuo de firmas digitales con otros Estados, en especial en el marco de la Alianza del Pacífico y la Comunidad Andina.</w:t>
      </w:r>
    </w:p>
    <w:p>
      <w:pPr>
        <w:jc w:val="both"/>
      </w:pPr>
      <w:r>
        <w:rPr>
          <w:b/>
        </w:rPr>
        <w:t>Primera. Disposición Complementaria Final</w:t>
        <w:br/>
      </w:r>
      <w:r>
        <w:t>Reglamentación. El Poder Ejecutivo, mediante decreto supremo refrendado por el Presidente del Consejo de Ministros, reglamenta la presente ley en un plazo no mayor de 90 días hábiles contados desde su entrada en vigencia.</w:t>
      </w:r>
    </w:p>
    <w:p>
      <w:pPr>
        <w:jc w:val="both"/>
      </w:pPr>
      <w:r>
        <w:rPr>
          <w:b/>
        </w:rPr>
        <w:t>Segunda. Disposición Complementaria Final</w:t>
        <w:br/>
      </w:r>
      <w:r>
        <w:t>Implementación. El RENIEC implementa la emisión gratuita del certificado en modalidad remota en un plazo no mayor de 18 meses desde la entrada en vigencia del reglamento.</w:t>
      </w:r>
    </w:p>
    <w:p>
      <w:pPr>
        <w:jc w:val="both"/>
      </w:pPr>
      <w:r>
        <w:rPr>
          <w:b/>
        </w:rPr>
        <w:t>Tercera. Disposición Complementaria Final</w:t>
        <w:br/>
      </w:r>
      <w:r>
        <w:t>Financiamiento. La implementación de la presente ley se financia con cargo al presupuesto institucional de el RENIEC y la Presidencia del Consejo de Ministros, sin demandar recursos adicionales al Tesoro Público.</w:t>
      </w:r>
    </w:p>
    <w:p>
      <w:r>
        <w:t>Lima, ___ de __________ de 20__</w:t>
      </w:r>
    </w:p>
    <w:p>
      <w:r>
        <w:br w:type="page"/>
      </w:r>
    </w:p>
    <w:p>
      <w:pPr>
        <w:pStyle w:val="Heading1"/>
      </w:pPr>
      <w:r>
        <w:t>EXPOSICIÓN DE MOTIVOS</w:t>
      </w:r>
    </w:p>
    <w:p>
      <w:pPr>
        <w:pStyle w:val="Heading2"/>
      </w:pPr>
      <w:r>
        <w:t>I. Fundamentos y problema</w:t>
      </w:r>
    </w:p>
    <w:p>
      <w:pPr>
        <w:jc w:val="both"/>
      </w:pPr>
      <w:r>
        <w:t>La Ley 27269 de Firmas y Certificados Digitales data del año 2000 y fue concebida para firmas generadas con dispositivos físicos (tarjetas y tokens). Aunque el DNI electrónico incorpora certificados digitales, su uso requiere lectores de tarjeta y software específicos que la mayoría de ciudadanos no tiene, por lo que la firma digital sigue siendo de uso marginal fuera de las entidades públicas y grandes empresas. Al 30 de junio de 2026, 9 332 713 personas contaban con DNI electrónico (Panamericana, datos del RENIEC). La alternativa práctica, la firma escaneada o la simple aceptación por correo, es vulnerable a la suplantación y al fraude documental. La Unión Europea reconoce desde eIDAS y su reforma de 2024 la firma electrónica cualificada remota, en la que la clave privada se custodia en un dispositivo seguro gestionado por un prestador acreditado y el titular la activa desde su teléfono con autenticación fuerte. Habilitar esta modalidad en la ley peruana, con un certificado gratuito para personas naturales, reduciría costos de transacción y fraude documental.</w:t>
      </w:r>
    </w:p>
    <w:p>
      <w:pPr>
        <w:pStyle w:val="Heading2"/>
      </w:pPr>
      <w:r>
        <w:t>II. Objeto</w:t>
      </w:r>
    </w:p>
    <w:p>
      <w:pPr>
        <w:jc w:val="both"/>
      </w:pPr>
      <w:r>
        <w:t>Modificar la Ley 27269 para reconocer la firma digital remota y garantizar un certificado gratuito para personas naturales.</w:t>
      </w:r>
    </w:p>
    <w:p>
      <w:pPr>
        <w:pStyle w:val="Heading2"/>
      </w:pPr>
      <w:r>
        <w:t>III. Análisis costo-beneficio</w:t>
      </w:r>
    </w:p>
    <w:p>
      <w:pPr>
        <w:jc w:val="both"/>
      </w:pPr>
      <w:r>
        <w:t>Gasto público bajo a medio para el RENIEC (infraestructura de firma remota y custodia de claves), financiable con su presupuesto institucional y con el ahorro derivado de la menor emisión de documentos físicos. El beneficio es la reducción de costos de transacción para ciudadanos y mipymes (traslados, notarías y mensajería) y la prevención del fraude documental basado en firmas escaneadas. Al eliminar la necesidad de lectores, el certificado se vuelve utilizable desde un teléfono, ampliando el acceso en regiones. La responsabilidad de los prestadores y las auditorías mitigan el riesgo de concentración.</w:t>
      </w:r>
    </w:p>
    <w:p>
      <w:pPr>
        <w:pStyle w:val="Heading2"/>
      </w:pPr>
      <w:r>
        <w:t>IV. Efecto de la vigencia de la norma sobre la legislación nacional</w:t>
      </w:r>
    </w:p>
    <w:p>
      <w:pPr>
        <w:jc w:val="both"/>
      </w:pPr>
      <w:r>
        <w:t>Modifica la Ley 27269 incorporando el artículo 3-A; complementa el Decreto Legislativo 1412 y la Ley 26497.</w:t>
      </w:r>
    </w:p>
    <w:p>
      <w:pPr>
        <w:pStyle w:val="Heading2"/>
      </w:pPr>
      <w:r>
        <w:t>V. Antecedentes</w:t>
      </w:r>
    </w:p>
    <w:p>
      <w:pPr>
        <w:jc w:val="both"/>
      </w:pPr>
      <w:r>
        <w:t>Por verificar en SPLEY.</w:t>
      </w:r>
    </w:p>
    <w:p>
      <w:pPr>
        <w:pStyle w:val="Heading2"/>
      </w:pPr>
      <w:r>
        <w:t>VI. Indicador de éxito</w:t>
      </w:r>
    </w:p>
    <w:p>
      <w:pPr>
        <w:jc w:val="both"/>
      </w:pPr>
      <w:r>
        <w:t>A 2031, al menos 3 millones de certificados de firma digital remota gratuitos emitidos a personas naturales.</w:t>
      </w:r>
    </w:p>
    <w:p>
      <w:pPr>
        <w:pStyle w:val="Heading2"/>
      </w:pPr>
      <w:r>
        <w:t>VII. Vinculación con la Agenda Legislativa y el Plan Perú 2050</w:t>
      </w:r>
    </w:p>
    <w:p>
      <w:r>
        <w:t>Comisiones temáticas del Plan Perú 2050: Ciber Seguridad, Transformación Digital, Mipymes. ODS: 9, 16.</w:t>
      </w:r>
    </w:p>
    <w:p>
      <w:pPr>
        <w:pStyle w:val="Heading2"/>
      </w:pPr>
      <w:r>
        <w:t>VIII. Referencias</w:t>
      </w:r>
    </w:p>
    <w:p>
      <w:pPr>
        <w:pStyle w:val="ListBullet"/>
      </w:pPr>
      <w:r>
        <w:t>Ley 27269, Ley de Firmas y Certificados Digitales — https://www.leyes.congreso.gob.pe/Documentos/Leyes/27269.pdf</w:t>
      </w:r>
    </w:p>
    <w:p>
      <w:pPr>
        <w:pStyle w:val="ListBullet"/>
      </w:pPr>
      <w:r>
        <w:t>Ley 26497, Ley Orgánica del Registro Nacional de Identificación y Estado Civil — https://www.leyes.congreso.gob.pe/Documentos/Leyes/26497.pdf</w:t>
      </w:r>
    </w:p>
    <w:p>
      <w:pPr>
        <w:pStyle w:val="ListBullet"/>
      </w:pPr>
      <w:r>
        <w:t>Decreto Legislativo 1412, Ley de Gobierno Digital — https://busquedas.elperuano.pe/normaslegales/decreto-legislativo-que-aprueba-la-ley-de-gobierno-digital-decreto-legislativo-n-1412-1691026-1</w:t>
      </w:r>
    </w:p>
    <w:p>
      <w:pPr>
        <w:pStyle w:val="ListBullet"/>
      </w:pPr>
      <w:r>
        <w:t>Decreto Supremo 029-2021-PCM, Reglamento del Decreto Legislativo 1412 — https://busquedas.elperuano.pe/dispositivo/NL/1929103-3</w:t>
      </w:r>
    </w:p>
    <w:p>
      <w:pPr>
        <w:pStyle w:val="ListBullet"/>
      </w:pPr>
      <w:r>
        <w:t>Unión Europea: Reglamento (UE) 2024/1183 (eIDAS 2), Marco Europeo de Identidad Digital y cartera de identidad digital — https://eur-lex.europa.eu/eli/reg/2024/1183/oj</w:t>
      </w:r>
    </w:p>
    <w:p>
      <w:pPr>
        <w:pStyle w:val="ListBullet"/>
      </w:pPr>
      <w:r>
        <w:t>Estonia: Tarjeta de identidad electrónica y firma digital nacional (e-Estonia) — https://e-estonia.com/solutions/e-identity/id-card/</w:t>
      </w:r>
    </w:p>
    <w:p>
      <w:pPr>
        <w:pStyle w:val="ListBullet"/>
      </w:pPr>
      <w:r>
        <w:t>Panamericana: RENIEC — 9 332 713 personas con DNI electrónico al 30-06-2026 — https://panamericana.pe/nacionales/471197-reniec-37-292-920-peruanos-identificados-representa-99-2-poblacion-nacional/amp</w:t>
      </w:r>
    </w:p>
    <w:p>
      <w:pPr>
        <w:pStyle w:val="ListBullet"/>
      </w:pPr>
      <w:r>
        <w:t>gob.pe: Registro Nacional de Identificación y Estado Civil — https://www.gob.pe/reniec</w:t>
      </w:r>
    </w:p>
    <w:p>
      <w:pPr>
        <w:pStyle w:val="ListBullet"/>
      </w:pPr>
      <w:r>
        <w:t>El Peruano (02-09-2026): Ciberdelitos más denunciados en el Perú — 29 118 denuncias ene-jul 2026 según el Ministerio Público — https://elperuano.pe/noticia/303867-ciberdelitos-mas-denunciados-en-el-peru</w:t>
      </w:r>
    </w:p>
    <w:p>
      <w:r>
        <w:t>Fuente: Agenda Legislativa Tech Perú 2026–2031 (https://unimauro.github.io/agenda-legislativa-tech/p/CIB-09.html),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modifica la Ley 27269, Ley de Firmas y Certificados Digitales, para habilitar la firma digital remota y su gratuidad para personas naturales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