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INTEGRA LA RED DORSAL NACIONAL DE FIBRA ÓPTICA Y LAS REDES REGIONALES EN UNA RED MAYORISTA NACIONAL DE ACCESO ABIERTO Y ESTABLECE SU MODELO DE EXPLOTACIÓN CON TARIFA ÚNICA</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INTEGRA LA RED DORSAL NACIONAL DE FIBRA ÓPTICA Y LAS REDES REGIONALES EN UNA RED MAYORISTA NACIONAL DE ACCESO ABIERTO Y ESTABLECE SU MODELO DE EXPLOTACIÓN CON TARIFA ÚNICA</w:t>
      </w:r>
    </w:p>
    <w:p>
      <w:pPr>
        <w:jc w:val="both"/>
      </w:pPr>
      <w:r>
        <w:rPr>
          <w:b/>
        </w:rPr>
        <w:t>Artículo 1. Objeto</w:t>
        <w:br/>
      </w:r>
      <w:r>
        <w:t>La presente ley tiene por objeto integrar la Red Dorsal Nacional de Fibra Óptica y las redes regionales de transporte de telecomunicaciones financiadas con recursos públicos en una Red Mayorista Nacional de Fibra Óptica de acceso abierto, y establecer su modelo de explotación.</w:t>
      </w:r>
    </w:p>
    <w:p>
      <w:pPr>
        <w:jc w:val="both"/>
      </w:pPr>
      <w:r>
        <w:rPr>
          <w:b/>
        </w:rPr>
        <w:t>Artículo 2. Conformación</w:t>
        <w:br/>
      </w:r>
      <w:r>
        <w:t>La Red Mayorista Nacional de Fibra Óptica está conformada por la Red Dorsal Nacional de Fibra Óptica a que se refiere el artículo 7 de la Ley 29904, las redes de transporte regionales financiadas con los recursos de la Ley 28900, y la fibra óptica, ductos y cámaras de titularidad del Estado instalados en virtud del artículo 12 de la Ley 29904.</w:t>
      </w:r>
    </w:p>
    <w:p>
      <w:pPr>
        <w:jc w:val="both"/>
      </w:pPr>
      <w:r>
        <w:rPr>
          <w:b/>
        </w:rPr>
        <w:t>Artículo 3. Acceso abierto y no discriminación</w:t>
        <w:br/>
      </w:r>
      <w:r>
        <w:t>La Red Mayorista se explota bajo el principio de acceso abierto. El operador u operadores de la red no prestan servicios a usuarios finales y ofrecen capacidad, fibra oscura, coubicación e interconexión a todo concesionario, incluidos operadores locales, regionales y comunitarios, en condiciones no discriminatorias y publicadas.</w:t>
      </w:r>
    </w:p>
    <w:p>
      <w:pPr>
        <w:jc w:val="both"/>
      </w:pPr>
      <w:r>
        <w:rPr>
          <w:b/>
        </w:rPr>
        <w:t>Artículo 4. Tarifa única por capacidad</w:t>
        <w:br/>
      </w:r>
      <w:r>
        <w:t>4.1 Las tarifas mayoristas de capacidad de la Red Mayorista son únicas a nivel nacional, con independencia de la ubicación del nodo, y se expresan por unidad de capacidad contratada.</w:t>
        <w:br/>
        <w:t>4.2 El OSIPTEL fija las tarifas tope a propuesta del Ministerio de Transportes y Comunicaciones, considerando la recuperación de los costos de operación, mantenimiento y reposición, y la promoción del uso de la red.</w:t>
      </w:r>
    </w:p>
    <w:p>
      <w:pPr>
        <w:jc w:val="both"/>
      </w:pPr>
      <w:r>
        <w:rPr>
          <w:b/>
        </w:rPr>
        <w:t>Artículo 5. Selección del operador</w:t>
        <w:br/>
      </w:r>
      <w:r>
        <w:t>La operación de la Red Mayorista se otorga a uno o más operadores neutros seleccionados mediante concurso público, por plazos no menores de diez años, bajo indicadores de disponibilidad, tiempo de reparación, ocupación de la red y calidad, con penalidades por incumplimiento.</w:t>
      </w:r>
    </w:p>
    <w:p>
      <w:pPr>
        <w:jc w:val="both"/>
      </w:pPr>
      <w:r>
        <w:rPr>
          <w:b/>
        </w:rPr>
        <w:t>Artículo 6. Metas de uso</w:t>
        <w:br/>
      </w:r>
      <w:r>
        <w:t>El contrato de operación establece metas progresivas de ocupación de la capacidad operativa de la Red Mayorista, con una meta no menor de 50 % al 2031, conforme a la acción estratégica del Plan Perú 2050 de telecomunicaciones.</w:t>
      </w:r>
    </w:p>
    <w:p>
      <w:pPr>
        <w:jc w:val="both"/>
      </w:pPr>
      <w:r>
        <w:rPr>
          <w:b/>
        </w:rPr>
        <w:t>Artículo 7. Red Nacional del Estado</w:t>
        <w:br/>
      </w:r>
      <w:r>
        <w:t>La Red Mayorista reserva la capacidad necesaria para la Red Nacional del Estado Peruano (REDNACE) prevista en los artículos 17 a 19 de la Ley 29904, cuya implementación se prioriza en las entidades de educación, salud y seguridad.</w:t>
      </w:r>
    </w:p>
    <w:p>
      <w:pPr>
        <w:jc w:val="both"/>
      </w:pPr>
      <w:r>
        <w:rPr>
          <w:b/>
        </w:rPr>
        <w:t>Artículo 8. Información pública</w:t>
        <w:br/>
      </w:r>
      <w:r>
        <w:t>El operador publica mensualmente, en formato de datos abiertos, la ocupación por tramo y nodo, la disponibilidad y las ofertas mayoristas vigentes. El OSIPTEL supervisa el cumplimiento y sanciona conforme a la Ley 27332.</w:t>
      </w:r>
    </w:p>
    <w:p>
      <w:pPr>
        <w:jc w:val="both"/>
      </w:pPr>
      <w:r>
        <w:rPr>
          <w:b/>
        </w:rPr>
        <w:t>Primera. Disposición Complementaria Final</w:t>
        <w:br/>
      </w:r>
      <w:r>
        <w:t>Reglamentación. El Ministerio de Transportes y Comunicaciones reglamenta la presente ley en un plazo de noventa días hábiles.</w:t>
      </w:r>
    </w:p>
    <w:p>
      <w:pPr>
        <w:jc w:val="both"/>
      </w:pPr>
      <w:r>
        <w:rPr>
          <w:b/>
        </w:rPr>
        <w:t>Segunda. Disposición Complementaria Final</w:t>
        <w:br/>
      </w:r>
      <w:r>
        <w:t>Transición. El PRONATEL mantiene la operación y mantenimiento de la Red Dorsal y de las redes regionales hasta la suscripción del contrato con el operador seleccionado, el cual se convoca en un plazo no mayor de doce meses desde la publicación del reglamento.</w:t>
      </w:r>
    </w:p>
    <w:p>
      <w:pPr>
        <w:jc w:val="both"/>
      </w:pPr>
      <w:r>
        <w:rPr>
          <w:b/>
        </w:rPr>
        <w:t>Tercera. Disposición Complementaria Final</w:t>
        <w:br/>
      </w:r>
      <w:r>
        <w:t>Respeto de contratos. La integración respeta los contratos vigentes; las redes regionales se incorporan a la Red Mayorista al vencimiento o adecuación consensuada de sus contratos.</w:t>
      </w:r>
    </w:p>
    <w:p>
      <w:r>
        <w:t>Lima, ___ de __________ de 20__</w:t>
      </w:r>
    </w:p>
    <w:p>
      <w:r>
        <w:br w:type="page"/>
      </w:r>
    </w:p>
    <w:p>
      <w:pPr>
        <w:pStyle w:val="Heading1"/>
      </w:pPr>
      <w:r>
        <w:t>EXPOSICIÓN DE MOTIVOS</w:t>
      </w:r>
    </w:p>
    <w:p>
      <w:pPr>
        <w:pStyle w:val="Heading2"/>
      </w:pPr>
      <w:r>
        <w:t>I. Fundamentos y problema</w:t>
      </w:r>
    </w:p>
    <w:p>
      <w:pPr>
        <w:jc w:val="both"/>
      </w:pPr>
      <w:r>
        <w:t>La Ley 29904 dispuso que la Red Dorsal Nacional de Fibra Óptica (RDNFO) sea operada por operadores neutros con tarifas, en lo posible, iguales a nivel nacional. Tras la caducidad de la concesión en 2021, el PRONATEL asumió temporalmente su operación y mantenimiento. Según la Comisión Temática de Telecomunicaciones del Plan Perú 2050, la RDNFO tiene 13 640 km de fibra y opera en 180 capitales de provincia, sin incluir Loreto ni Ucayali, con una explotación comercial estimada en solo 10 % de su capacidad; la misma comisión propone integrar la RDNFO y las redes regionales en una Red Nacional de Fibra Óptica Ampliada con alquiler de capacidad a tarifa única, para superar el 50 % de uso. Las redes regionales se contrataron por separado, con reglas y precios distintos, lo que fragmenta la oferta mayorista y desalienta a los operadores locales que podrían llevar el servicio a la última milla.</w:t>
      </w:r>
    </w:p>
    <w:p>
      <w:pPr>
        <w:pStyle w:val="Heading2"/>
      </w:pPr>
      <w:r>
        <w:t>II. Objeto</w:t>
      </w:r>
    </w:p>
    <w:p>
      <w:pPr>
        <w:jc w:val="both"/>
      </w:pPr>
      <w:r>
        <w:t>Integrar la RDNFO y las redes regionales de transporte financiadas con recursos públicos en una red mayorista nacional de acceso abierto, con un modelo de explotación único, tarifario simple y metas de uso verificables.</w:t>
      </w:r>
    </w:p>
    <w:p>
      <w:pPr>
        <w:pStyle w:val="Heading2"/>
      </w:pPr>
      <w:r>
        <w:t>III. Análisis costo-beneficio</w:t>
      </w:r>
    </w:p>
    <w:p>
      <w:pPr>
        <w:jc w:val="both"/>
      </w:pPr>
      <w:r>
        <w:t>La red ya existe y es un activo público subutilizado; la ley busca que genere ingresos y servicio. El costo es la estructuración del concurso (consultoría y asesoría, financiable con recursos del fondo de acceso universal) y, posiblemente, un cofinanciamiento de operación en tramos de baja demanda. El beneficio es aumentar la ocupación desde el 10 % estimado por la comisión del Plan Perú 2050, reducir el costo del transporte de datos para operadores regionales y, con ello, abaratar la última milla en provincias. La tarifa única introduce subsidios cruzados entre tramos; el regulador debe calibrarla para no desalentar inversión privada en rutas competitivas. Puede estructurarse como APP cofinanciada (Decreto Legislativo 1362).</w:t>
      </w:r>
    </w:p>
    <w:p>
      <w:pPr>
        <w:pStyle w:val="Heading2"/>
      </w:pPr>
      <w:r>
        <w:t>IV. Efecto de la vigencia de la norma sobre la legislación nacional</w:t>
      </w:r>
    </w:p>
    <w:p>
      <w:pPr>
        <w:jc w:val="both"/>
      </w:pPr>
      <w:r>
        <w:t>Complementa los artículos 7, 9, 12 y 17 a 19 de la Ley 29904 y la Ley 28900. No deroga normas.</w:t>
      </w:r>
    </w:p>
    <w:p>
      <w:pPr>
        <w:pStyle w:val="Heading2"/>
      </w:pPr>
      <w:r>
        <w:t>V. Antecedentes</w:t>
      </w:r>
    </w:p>
    <w:p>
      <w:pPr>
        <w:jc w:val="both"/>
      </w:pPr>
      <w:r>
        <w:t>Por verificar en SPLEY.</w:t>
      </w:r>
    </w:p>
    <w:p>
      <w:pPr>
        <w:pStyle w:val="Heading2"/>
      </w:pPr>
      <w:r>
        <w:t>VI. Indicador de éxito</w:t>
      </w:r>
    </w:p>
    <w:p>
      <w:pPr>
        <w:jc w:val="both"/>
      </w:pPr>
      <w:r>
        <w:t>Ocupación de la capacidad operativa de la red mayorista pública igual o superior a 50 % en 2031 (línea de base estimada 10 %, Plan Perú 2050).</w:t>
      </w:r>
    </w:p>
    <w:p>
      <w:pPr>
        <w:pStyle w:val="Heading2"/>
      </w:pPr>
      <w:r>
        <w:t>VII. Vinculación con la Agenda Legislativa y el Plan Perú 2050</w:t>
      </w:r>
    </w:p>
    <w:p>
      <w:r>
        <w:t>Comisiones temáticas del Plan Perú 2050: Telecomunicaciones, Infraestructura y Construcción, Competitividad. ODS: 9, 17.</w:t>
      </w:r>
    </w:p>
    <w:p>
      <w:pPr>
        <w:pStyle w:val="Heading2"/>
      </w:pPr>
      <w:r>
        <w:t>VIII. Referencias</w:t>
      </w:r>
    </w:p>
    <w:p>
      <w:pPr>
        <w:pStyle w:val="ListBullet"/>
      </w:pPr>
      <w:r>
        <w:t>Ley 29904, Ley de Promoción de la Banda Ancha y Construcción de la Red Dorsal Nacional de Fibra Óptica — https://leyes.congreso.gob.pe/Documentos/Leyes/29904.pdf</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27332, Ley Marco de los Organismos Reguladores de la Inversión Privada en los Servicios Públicos — https://leyes.congreso.gob.pe/Documentos/Leyes/27332.pdf</w:t>
      </w:r>
    </w:p>
    <w:p>
      <w:pPr>
        <w:pStyle w:val="ListBullet"/>
      </w:pPr>
      <w:r>
        <w:t>Decreto Legislativo 1362, que regula la promoción de la inversión privada mediante Asociaciones Público Privadas y Proyectos en Activos — https://leyes.congreso.gob.pe/Documentos/DecretosLegislativos/01362.pdf</w:t>
      </w:r>
    </w:p>
    <w:p>
      <w:pPr>
        <w:pStyle w:val="ListBullet"/>
      </w:pPr>
      <w:r>
        <w:t>Unión Europea: Reglamento (UE) 2024/1309, Gigabit Infrastructure Act (despliegue coordinado de obras civiles y acceso a infraestructura física) — https://digital-strategy.ec.europa.eu/en/policies/gigabit-infrastructure-act</w:t>
      </w:r>
    </w:p>
    <w:p>
      <w:pPr>
        <w:pStyle w:val="ListBullet"/>
      </w:pPr>
      <w:r>
        <w:t>Colombia: Ley 1978 de 2019, moderniza el sector TIC (fondo único y obligaciones de hacer en asignación de espectro) — http://www.secretariasenado.gov.co/senado/basedoc/ley_1978_2019.html</w:t>
      </w:r>
    </w:p>
    <w:p>
      <w:pPr>
        <w:pStyle w:val="ListBullet"/>
      </w:pPr>
      <w:r>
        <w:t>Andina: PRONATEL asumió operación y mantenimiento de la Red Dorsal Nacional de Fibra Óptica — https://andina.pe/agencia/noticia-pronatel-asumio-operacion-y-mantenimiento-red-dorsal-nacional-fibra-optica-877100.aspx</w:t>
      </w:r>
    </w:p>
    <w:p>
      <w:pPr>
        <w:pStyle w:val="ListBullet"/>
      </w:pPr>
      <w:r>
        <w:t>DPL News: Perú toma formal control de la Red Dorsal que operó Azteca Comunicaciones — https://dplnews.com/peru-toma-formal-control-de-la-red-dorsal-que-opero-azteca-comunicaciones-del-grupo-salinas/</w:t>
      </w:r>
    </w:p>
    <w:p>
      <w:pPr>
        <w:pStyle w:val="ListBullet"/>
      </w:pPr>
      <w:r>
        <w:t>PRONATEL, Programa Nacional de Telecomunicaciones (MTC) — https://www.gob.pe/pronatel</w:t>
      </w:r>
    </w:p>
    <w:p>
      <w:r>
        <w:t>Fuente: Agenda Legislativa Tech Perú 2026–2031 (https://unimauro.github.io/agenda-legislativa-tech/p/CON-03.html),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integra la Red Dorsal Nacional de Fibra Óptica y las redes regionales en una red mayorista nacional de acceso abierto y establece su modelo de explotación con tarifa única</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