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ACTUALIZA LA NEUTRALIDAD DE RED Y GARANTIZA LA MEDICIÓN INDEPENDIENTE Y ABIERTA DE LA CALIDAD DEL SERVICIO DE INTERNET, MODIFICANDO LAS LEYES 29904 Y 31207</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ACTUALIZA LA NEUTRALIDAD DE RED Y GARANTIZA LA MEDICIÓN INDEPENDIENTE Y ABIERTA DE LA CALIDAD DEL SERVICIO DE INTERNET, MODIFICANDO LAS LEYES 29904 Y 31207</w:t>
      </w:r>
    </w:p>
    <w:p>
      <w:pPr>
        <w:jc w:val="both"/>
      </w:pPr>
      <w:r>
        <w:rPr>
          <w:b/>
        </w:rPr>
        <w:t>Artículo 1. Objeto</w:t>
        <w:br/>
      </w:r>
      <w:r>
        <w:t>La presente ley tiene por objeto actualizar el principio de neutralidad de red y garantizar la medición independiente y la publicación abierta de la calidad y cobertura del servicio de acceso a internet.</w:t>
      </w:r>
    </w:p>
    <w:p>
      <w:pPr>
        <w:jc w:val="both"/>
      </w:pPr>
      <w:r>
        <w:rPr>
          <w:b/>
        </w:rPr>
        <w:t>Artículo 2. Modificación del artículo 6 de la Ley 29904</w:t>
        <w:br/>
      </w:r>
      <w:r>
        <w:t>Modifícase el artículo 6 de la Ley 29904, el cual queda redactado de la siguiente manera:</w:t>
        <w:br/>
        <w:t>"Artículo 6. Neutralidad de red</w:t>
        <w:br/>
        <w:t>6.1 Los proveedores de acceso a internet tratan todo el tráfico de manera equitativa y no pueden bloquear, ralentizar, interferir, discriminar ni restringir el derecho de cualquier usuario a acceder, utilizar, enviar o recibir contenidos, aplicaciones, servicios o protocolos lícitos, independientemente de su origen, destino, naturaleza o propiedad.</w:t>
        <w:br/>
        <w:t>6.2 Solo se admite la gestión razonable del tráfico que sea transparente, no discriminatoria, proporcional, temporal y basada en requisitos técnicos objetivos, para preservar la integridad y seguridad de la red, gestionar congestiones excepcionales o cumplir mandatos legales o judiciales.</w:t>
        <w:br/>
        <w:t>6.3 Las ofertas comerciales que excluyan del consumo de datos determinadas aplicaciones se sujetan a las reglas de transparencia y no discriminación que establezca el OSIPTEL, el cual evalúa sus efectos sobre la competencia y los derechos de los usuarios.</w:t>
        <w:br/>
        <w:t>6.4 El OSIPTEL determina las conductas permitidas, supervisa y sanciona su incumplimiento."</w:t>
      </w:r>
    </w:p>
    <w:p>
      <w:pPr>
        <w:jc w:val="both"/>
      </w:pPr>
      <w:r>
        <w:rPr>
          <w:b/>
        </w:rPr>
        <w:t>Artículo 3. Medición independiente de la calidad</w:t>
        <w:br/>
      </w:r>
      <w:r>
        <w:t>3.1 El OSIPTEL mide la calidad del servicio de acceso a internet fijo y móvil, incluyendo velocidad de bajada y subida, latencia, pérdida de paquetes y disponibilidad, mediante metodología pública y auditable, con mediciones propias, de terceros independientes y de los usuarios.</w:t>
        <w:br/>
        <w:t>3.2 Los resultados del Registro Nacional de Monitoreo y Vigilancia del Servicio de Internet a que se refiere la Ley 31207 se publican en formato de datos abiertos, con desagregación por empresa, tecnología, departamento, provincia y distrito.</w:t>
      </w:r>
    </w:p>
    <w:p>
      <w:pPr>
        <w:jc w:val="both"/>
      </w:pPr>
      <w:r>
        <w:rPr>
          <w:b/>
        </w:rPr>
        <w:t>Artículo 4. Mapa nacional de cobertura verificada</w:t>
        <w:br/>
      </w:r>
      <w:r>
        <w:t>Los concesionarios reportan al OSIPTEL su cobertura georreferenciada por tecnología y velocidad. El OSIPTEL publica un mapa nacional de cobertura verificada, contrastado con mediciones en campo y de usuarios, y habilita un mecanismo para que la ciudadanía y las autoridades locales impugnen la cobertura declarada.</w:t>
      </w:r>
    </w:p>
    <w:p>
      <w:pPr>
        <w:jc w:val="both"/>
      </w:pPr>
      <w:r>
        <w:rPr>
          <w:b/>
        </w:rPr>
        <w:t>Artículo 5. Información al usuario</w:t>
        <w:br/>
      </w:r>
      <w:r>
        <w:t>Los proveedores informan en sus contratos y publicidad la velocidad mínima garantizada, la velocidad promedio esperada en horas de mayor tráfico, la latencia típica y las prácticas de gestión de tráfico aplicables, conforme a la Ley 29571.</w:t>
      </w:r>
    </w:p>
    <w:p>
      <w:pPr>
        <w:jc w:val="both"/>
      </w:pPr>
      <w:r>
        <w:rPr>
          <w:b/>
        </w:rPr>
        <w:t>Artículo 6. Compensación automática</w:t>
        <w:br/>
      </w:r>
      <w:r>
        <w:t>Cuando las mediciones verificadas por el OSIPTEL acrediten el incumplimiento reiterado de la velocidad mínima garantizada, el usuario tiene derecho a compensación automática o a la resolución del contrato sin penalidad, en las condiciones que establezca el OSIPTEL.</w:t>
      </w:r>
    </w:p>
    <w:p>
      <w:pPr>
        <w:jc w:val="both"/>
      </w:pPr>
      <w:r>
        <w:rPr>
          <w:b/>
        </w:rPr>
        <w:t>Artículo 7. Uso de la información para política pública</w:t>
        <w:br/>
      </w:r>
      <w:r>
        <w:t>El Ministerio de Transportes y Comunicaciones y el PRONATEL utilizan el mapa de cobertura verificada para identificar centros poblados no atendidos y priorizar proyectos y obligaciones de cobertura.</w:t>
      </w:r>
    </w:p>
    <w:p>
      <w:pPr>
        <w:jc w:val="both"/>
      </w:pPr>
      <w:r>
        <w:rPr>
          <w:b/>
        </w:rPr>
        <w:t>Primera. Disposición Complementaria Final</w:t>
        <w:br/>
      </w:r>
      <w:r>
        <w:t>Adecuación normativa. El OSIPTEL adecua su regulación de neutralidad de red y de calidad en un plazo de ciento veinte días hábiles desde la vigencia de la presente ley.</w:t>
      </w:r>
    </w:p>
    <w:p>
      <w:pPr>
        <w:jc w:val="both"/>
      </w:pPr>
      <w:r>
        <w:rPr>
          <w:b/>
        </w:rPr>
        <w:t>Segunda. Disposición Complementaria Final</w:t>
        <w:br/>
      </w:r>
      <w:r>
        <w:t>Implementación del mapa. El mapa nacional de cobertura verificada se publica en un plazo no mayor de dieciocho meses, con cargo al presupuesto institucional del OSIPTEL, financiado con el aporte por regulación.</w:t>
      </w:r>
    </w:p>
    <w:p>
      <w:r>
        <w:t>Lima, ___ de __________ de 20__</w:t>
      </w:r>
    </w:p>
    <w:p>
      <w:r>
        <w:br w:type="page"/>
      </w:r>
    </w:p>
    <w:p>
      <w:pPr>
        <w:pStyle w:val="Heading1"/>
      </w:pPr>
      <w:r>
        <w:t>EXPOSICIÓN DE MOTIVOS</w:t>
      </w:r>
    </w:p>
    <w:p>
      <w:pPr>
        <w:pStyle w:val="Heading2"/>
      </w:pPr>
      <w:r>
        <w:t>I. Fundamentos y problema</w:t>
      </w:r>
    </w:p>
    <w:p>
      <w:pPr>
        <w:jc w:val="both"/>
      </w:pPr>
      <w:r>
        <w:t>El artículo 6 de la Ley 29904 establece que los proveedores de acceso a internet respetan la neutralidad de red y no pueden bloquear, interferir, discriminar ni restringir arbitrariamente el uso de aplicaciones o protocolos, y encarga al OSIPTEL definir las conductas no arbitrarias. La Ley 31207 modificó el artículo 5 de la misma ley para obligar a garantizar el 70 % de la velocidad mínima ofrecida y creó el Registro Nacional de Monitoreo y Vigilancia del Servicio de Internet (RENAMV), con publicación mensual. Sin embargo, la ley no precisa con rango legal las reglas sobre gestión de tráfico, ofertas de tarifa cero o servicios especializados que se han extendido desde 2012, ni exige que las mediciones de calidad y los mapas de cobertura se publiquen en datos abiertos reutilizables con metodología auditable y desagregación por distrito. El portal PUNKU del OSIPTEL difunde indicadores, pero la información no siempre permite verificar la cobertura real en cada centro poblado.</w:t>
      </w:r>
    </w:p>
    <w:p>
      <w:pPr>
        <w:pStyle w:val="Heading2"/>
      </w:pPr>
      <w:r>
        <w:t>II. Objeto</w:t>
      </w:r>
    </w:p>
    <w:p>
      <w:pPr>
        <w:jc w:val="both"/>
      </w:pPr>
      <w:r>
        <w:t>Actualizar las reglas de neutralidad de red y garantizar la medición independiente, abierta y georreferenciada de la calidad y cobertura del servicio de internet.</w:t>
      </w:r>
    </w:p>
    <w:p>
      <w:pPr>
        <w:pStyle w:val="Heading2"/>
      </w:pPr>
      <w:r>
        <w:t>III. Análisis costo-beneficio</w:t>
      </w:r>
    </w:p>
    <w:p>
      <w:pPr>
        <w:jc w:val="both"/>
      </w:pPr>
      <w:r>
        <w:t>El costo recae en el OSIPTEL (mediciones de campo, plataforma de datos abiertos y mapa), financiado con el aporte por regulación que ya pagan los operadores, sin recursos del Tesoro. Los operadores asumen costos de reporte georreferenciado y de adecuación de la información comercial. El beneficio es doble: los usuarios cuentan con información verificable para elegir y reclamar, y el Estado deja de planificar con cobertura declarada no verificada, lo que mejora la focalización de subsidios y obligaciones de cobertura. La regla de gestión razonable del tráfico da certidumbre a los operadores sobre lo permitido.</w:t>
      </w:r>
    </w:p>
    <w:p>
      <w:pPr>
        <w:pStyle w:val="Heading2"/>
      </w:pPr>
      <w:r>
        <w:t>IV. Efecto de la vigencia de la norma sobre la legislación nacional</w:t>
      </w:r>
    </w:p>
    <w:p>
      <w:pPr>
        <w:jc w:val="both"/>
      </w:pPr>
      <w:r>
        <w:t>Modifica el artículo 6 de la Ley 29904. Complementa el artículo 5 de la Ley 29904 (modificado por la Ley 31207) y la Ley 29571. No deroga normas.</w:t>
      </w:r>
    </w:p>
    <w:p>
      <w:pPr>
        <w:pStyle w:val="Heading2"/>
      </w:pPr>
      <w:r>
        <w:t>V. Antecedentes</w:t>
      </w:r>
    </w:p>
    <w:p>
      <w:pPr>
        <w:jc w:val="both"/>
      </w:pPr>
      <w:r>
        <w:t>Por verificar en SPLEY.</w:t>
      </w:r>
    </w:p>
    <w:p>
      <w:pPr>
        <w:pStyle w:val="Heading2"/>
      </w:pPr>
      <w:r>
        <w:t>VI. Indicador de éxito</w:t>
      </w:r>
    </w:p>
    <w:p>
      <w:pPr>
        <w:jc w:val="both"/>
      </w:pPr>
      <w:r>
        <w:t>Mapa nacional de cobertura verificada y mediciones RENAMV publicadas en datos abiertos a nivel distrital a 2028, con actualización al menos trimestral.</w:t>
      </w:r>
    </w:p>
    <w:p>
      <w:pPr>
        <w:pStyle w:val="Heading2"/>
      </w:pPr>
      <w:r>
        <w:t>VII. Vinculación con la Agenda Legislativa y el Plan Perú 2050</w:t>
      </w:r>
    </w:p>
    <w:p>
      <w:r>
        <w:t>Comisiones temáticas del Plan Perú 2050: Telecomunicaciones, Perú en La Era Digital. ODS: 9, 16.</w:t>
      </w:r>
    </w:p>
    <w:p>
      <w:pPr>
        <w:pStyle w:val="Heading2"/>
      </w:pPr>
      <w:r>
        <w:t>VIII. Referencias</w:t>
      </w:r>
    </w:p>
    <w:p>
      <w:pPr>
        <w:pStyle w:val="ListBullet"/>
      </w:pPr>
      <w:r>
        <w:t>Ley 29904, Ley de Promoción de la Banda Ancha y Construcción de la Red Dorsal Nacional de Fibra Óptica — https://leyes.congreso.gob.pe/Documentos/Leyes/29904.pdf</w:t>
      </w:r>
    </w:p>
    <w:p>
      <w:pPr>
        <w:pStyle w:val="ListBullet"/>
      </w:pPr>
      <w:r>
        <w:t>Ley 31207, Ley que garantiza la velocidad mínima de conexión a internet y monitoreo de la prestación del servicio de internet a favor de los usuarios — https://leyes.congreso.gob.pe/Documentos/2016_2021/ADLP/Normas_Legales/31207-LEY.pdf</w:t>
      </w:r>
    </w:p>
    <w:p>
      <w:pPr>
        <w:pStyle w:val="ListBullet"/>
      </w:pPr>
      <w:r>
        <w:t>Ley 29571, Código de Protección y Defensa del Consumidor — https://leyes.congreso.gob.pe/Documentos/Leyes/29571.pdf</w:t>
      </w:r>
    </w:p>
    <w:p>
      <w:pPr>
        <w:pStyle w:val="ListBullet"/>
      </w:pPr>
      <w:r>
        <w:t>Ley 27332, Ley Marco de los Organismos Reguladores de la Inversión Privada en los Servicios Públicos — https://leyes.congreso.gob.pe/Documentos/Leyes/27332.pdf</w:t>
      </w:r>
    </w:p>
    <w:p>
      <w:pPr>
        <w:pStyle w:val="ListBullet"/>
      </w:pPr>
      <w:r>
        <w:t>Unión Europea: Reglamento (UE) 2015/2120, acceso a una internet abierta — https://digital-strategy.ec.europa.eu/en/policies/open-internet</w:t>
      </w:r>
    </w:p>
    <w:p>
      <w:pPr>
        <w:pStyle w:val="ListBullet"/>
      </w:pPr>
      <w:r>
        <w:t>Chile: Ley 20.453 (2010), consagra el principio de neutralidad en la red para los consumidores y usuarios de internet — https://www.bcn.cl/leychile/navegar?idNorma=1016570</w:t>
      </w:r>
    </w:p>
    <w:p>
      <w:pPr>
        <w:pStyle w:val="ListBullet"/>
      </w:pPr>
      <w:r>
        <w:t>Chile: Ley 21.046 (2017), establece la obligación de una velocidad mínima garantizada de acceso a internet — https://www.bcn.cl/leychile/navegar?idNorma=1111298</w:t>
      </w:r>
    </w:p>
    <w:p>
      <w:pPr>
        <w:pStyle w:val="ListBullet"/>
      </w:pPr>
      <w:r>
        <w:t>OSIPTEL, PUNKU - Portal de información estadística de telecomunicaciones — https://punku.osiptel.gob.pe/</w:t>
      </w:r>
    </w:p>
    <w:p>
      <w:pPr>
        <w:pStyle w:val="ListBullet"/>
      </w:pPr>
      <w:r>
        <w:t>OSIPTEL, informes y publicaciones — https://www.gob.pe/institucion/osiptel/informes-publicaciones</w:t>
      </w:r>
    </w:p>
    <w:p>
      <w:r>
        <w:t>Fuente: Agenda Legislativa Tech Perú 2026–2031 (https://unimauro.github.io/agenda-legislativa-tech/p/CON-12.html),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actualiza la neutralidad de red y garantiza la medición independiente y abierta de la calidad del servicio de internet, modificando las Leyes 29904 y 31207</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