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t>PROYECTO DE LEY N.° ____/2026-CR</w:t>
      </w:r>
    </w:p>
    <w:p>
      <w:pPr>
        <w:pStyle w:val="Heading1"/>
      </w:pPr>
      <w:r>
        <w:t>LEY QUE GARANTIZA LA CONECTIVIDAD DE BANDA ANCHA DE TODAS LAS INSTITUCIONES EDUCATIVAS Y ESTABLECIMIENTOS DE SALUD PÚBLICOS MEDIANTE LA RED NACIONAL DEL ESTADO</w:t>
      </w:r>
    </w:p>
    <w:p>
      <w:r>
        <w:t>El/la congresista que suscribe, ______________________, en ejercicio del derecho de iniciativa legislativa que le confiere el artículo 107 de la Constitución Política del Perú, presenta la siguiente propuesta legislativa:</w:t>
      </w:r>
    </w:p>
    <w:p>
      <w:pPr>
        <w:jc w:val="center"/>
      </w:pPr>
      <w:r>
        <w:rPr>
          <w:b/>
        </w:rPr>
        <w:t>FÓRMULA LEGAL</w:t>
        <w:br/>
      </w:r>
      <w:r>
        <w:t>EL CONGRESO DE LA REPÚBLICA</w:t>
        <w:br/>
        <w:t>Ha dado la Ley siguiente:</w:t>
        <w:br/>
      </w:r>
      <w:r>
        <w:rPr>
          <w:b/>
        </w:rPr>
        <w:t>LEY QUE GARANTIZA LA CONECTIVIDAD DE BANDA ANCHA DE TODAS LAS INSTITUCIONES EDUCATIVAS Y ESTABLECIMIENTOS DE SALUD PÚBLICOS MEDIANTE LA RED NACIONAL DEL ESTADO</w:t>
      </w:r>
    </w:p>
    <w:p>
      <w:pPr>
        <w:jc w:val="both"/>
      </w:pPr>
      <w:r>
        <w:rPr>
          <w:b/>
        </w:rPr>
        <w:t>Artículo 1. Objeto</w:t>
        <w:br/>
      </w:r>
      <w:r>
        <w:t>La presente ley tiene por objeto garantizar que todas las instituciones educativas públicas de educación básica y los establecimientos de salud públicos del primer nivel de atención y superiores cuenten con conectividad de banda ancha de calidad.</w:t>
      </w:r>
    </w:p>
    <w:p>
      <w:pPr>
        <w:jc w:val="both"/>
      </w:pPr>
      <w:r>
        <w:rPr>
          <w:b/>
        </w:rPr>
        <w:t>Artículo 2. Meta</w:t>
        <w:br/>
      </w:r>
      <w:r>
        <w:t>El Estado conecta progresivamente al 100 % de las instituciones educativas y establecimientos de salud públicos, conforme al cronograma que aprueba el Ministerio de Transportes y Comunicaciones con los Ministerios de Educación y de Salud, priorizando los ubicados en área rural, comunidades nativas y zonas de frontera.</w:t>
      </w:r>
    </w:p>
    <w:p>
      <w:pPr>
        <w:jc w:val="both"/>
      </w:pPr>
      <w:r>
        <w:rPr>
          <w:b/>
        </w:rPr>
        <w:t>Artículo 3. Estándar mínimo</w:t>
        <w:br/>
      </w:r>
      <w:r>
        <w:t>El Ministerio de Transportes y Comunicaciones fija y actualiza cada dos años la velocidad mínima por usuario y la disponibilidad mínima exigibles para la conectividad de instituciones educativas y establecimientos de salud, diferenciada por tamaño del local y tipo de servicio.</w:t>
      </w:r>
    </w:p>
    <w:p>
      <w:pPr>
        <w:jc w:val="both"/>
      </w:pPr>
      <w:r>
        <w:rPr>
          <w:b/>
        </w:rPr>
        <w:t>Artículo 4. Contratación agregada mediante la REDNACE</w:t>
        <w:br/>
      </w:r>
      <w:r>
        <w:t>4.1 La conectividad de los locales comprendidos se contrata de manera agregada en el marco de la Red Nacional del Estado Peruano a que se refieren los artículos 17 a 19 de la Ley 29904, mediante concursos públicos por lotes regionales que permitan soluciones terrestres y satelitales con neutralidad tecnológica.</w:t>
        <w:br/>
        <w:t>4.2 Los contratos son plurianuales, con pago por disponibilidad y calidad medidas, y penalidades por incumplimiento.</w:t>
      </w:r>
    </w:p>
    <w:p>
      <w:pPr>
        <w:jc w:val="both"/>
      </w:pPr>
      <w:r>
        <w:rPr>
          <w:b/>
        </w:rPr>
        <w:t>Artículo 5. Inventario público</w:t>
        <w:br/>
      </w:r>
      <w:r>
        <w:t>El Ministerio de Educación y el Ministerio de Salud publican, en formato de datos abiertos y con actualización trimestral, el inventario de locales con su estado de conectividad, tecnología, velocidad contratada y medida, y proveedor.</w:t>
      </w:r>
    </w:p>
    <w:p>
      <w:pPr>
        <w:jc w:val="both"/>
      </w:pPr>
      <w:r>
        <w:rPr>
          <w:b/>
        </w:rPr>
        <w:t>Artículo 6. Uso comunitario</w:t>
        <w:br/>
      </w:r>
      <w:r>
        <w:t>Fuera del horario de atención, la conectividad de los locales puede habilitarse como punto de acceso comunitario gratuito, con las medidas de seguridad y filtrado que establezca el reglamento, sin afectar la prioridad del uso institucional.</w:t>
      </w:r>
    </w:p>
    <w:p>
      <w:pPr>
        <w:jc w:val="both"/>
      </w:pPr>
      <w:r>
        <w:rPr>
          <w:b/>
        </w:rPr>
        <w:t>Artículo 7. Energía y equipamiento</w:t>
        <w:br/>
      </w:r>
      <w:r>
        <w:t>Los programas de conectividad incluyen, cuando sea necesario, soluciones de suministro eléctrico autónomo con energía renovable y equipamiento de red interna, en coordinación con los programas de electrificación rural.</w:t>
      </w:r>
    </w:p>
    <w:p>
      <w:pPr>
        <w:jc w:val="both"/>
      </w:pPr>
      <w:r>
        <w:rPr>
          <w:b/>
        </w:rPr>
        <w:t>Artículo 8. Financiamiento plurianual</w:t>
        <w:br/>
      </w:r>
      <w:r>
        <w:t>La conectividad de los locales se financia con cargo a los presupuestos institucionales de los sectores Educación y Salud y de los gobiernos regionales, y con los recursos de la Ley 28900 para las zonas no atendidas; se programa en el marco de la programación multianual del gasto.</w:t>
      </w:r>
    </w:p>
    <w:p>
      <w:pPr>
        <w:jc w:val="both"/>
      </w:pPr>
      <w:r>
        <w:rPr>
          <w:b/>
        </w:rPr>
        <w:t>Primera. Disposición Complementaria Final</w:t>
        <w:br/>
      </w:r>
      <w:r>
        <w:t>Reglamentación. El Poder Ejecutivo reglamenta la presente ley en un plazo de noventa días hábiles, mediante decreto supremo refrendado por los Ministros de Transportes y Comunicaciones, de Educación, de Salud y de Economía y Finanzas.</w:t>
      </w:r>
    </w:p>
    <w:p>
      <w:pPr>
        <w:jc w:val="both"/>
      </w:pPr>
      <w:r>
        <w:rPr>
          <w:b/>
        </w:rPr>
        <w:t>Segunda. Disposición Complementaria Final</w:t>
        <w:br/>
      </w:r>
      <w:r>
        <w:t>Cronograma. El cronograma a que se refiere el artículo 2 se aprueba en un plazo de ciento ochenta días calendario y contempla la conexión de todos los locales al 2031, con metas anuales.</w:t>
      </w:r>
    </w:p>
    <w:p>
      <w:pPr>
        <w:jc w:val="both"/>
      </w:pPr>
      <w:r>
        <w:rPr>
          <w:b/>
        </w:rPr>
        <w:t>Tercera. Disposición Complementaria Final</w:t>
        <w:br/>
      </w:r>
      <w:r>
        <w:t>Contratos vigentes. Los contratos de conectividad vigentes se mantienen hasta su vencimiento y se integran a la contratación agregada a su término.</w:t>
      </w:r>
    </w:p>
    <w:p>
      <w:r>
        <w:t>Lima, ___ de __________ de 20__</w:t>
      </w:r>
    </w:p>
    <w:p>
      <w:r>
        <w:br w:type="page"/>
      </w:r>
    </w:p>
    <w:p>
      <w:pPr>
        <w:pStyle w:val="Heading1"/>
      </w:pPr>
      <w:r>
        <w:t>EXPOSICIÓN DE MOTIVOS</w:t>
      </w:r>
    </w:p>
    <w:p>
      <w:pPr>
        <w:pStyle w:val="Heading2"/>
      </w:pPr>
      <w:r>
        <w:t>I. Fundamentos y problema</w:t>
      </w:r>
    </w:p>
    <w:p>
      <w:pPr>
        <w:jc w:val="both"/>
      </w:pPr>
      <w:r>
        <w:t>Los artículos 17 a 19 de la Ley 29904 crean la Red Nacional del Estado Peruano (REDNACE) para atender la conectividad de las entidades públicas, priorizando educación y salud, con capacidad reservada en la Red Dorsal. La Comisión Temática de Telecomunicaciones del Plan Perú 2050 propone implementar la REDNACE entre sus acciones de los primeros 100 días, con metas de 70 % de implementación al 2040 y 85 % al 2050. En la práctica, la conectividad de escuelas y postas se contrata de forma dispersa por cada entidad o mediante proyectos con plazos limitados, sin un estándar mínimo de velocidad por usuario ni un inventario público de qué local está efectivamente conectado. La brecha rural es amplia: según INEI (ENAHO, II trimestre 2026), solo el 27,1 % de los hogares rurales tiene internet, por lo que la escuela y la posta son a menudo el único punto de conexión. La iniciativa Giga de UNICEF y la UIT promueve conectar todas las escuelas, y Brasil legisló la garantía de acceso a internet con fines educativos.</w:t>
      </w:r>
    </w:p>
    <w:p>
      <w:pPr>
        <w:pStyle w:val="Heading2"/>
      </w:pPr>
      <w:r>
        <w:t>II. Objeto</w:t>
      </w:r>
    </w:p>
    <w:p>
      <w:pPr>
        <w:jc w:val="both"/>
      </w:pPr>
      <w:r>
        <w:t>Garantizar la conectividad de banda ancha de calidad en todas las instituciones educativas y establecimientos de salud públicos, mediante la REDNACE y contratación agregada con financiamiento plurianual.</w:t>
      </w:r>
    </w:p>
    <w:p>
      <w:pPr>
        <w:pStyle w:val="Heading2"/>
      </w:pPr>
      <w:r>
        <w:t>III. Análisis costo-beneficio</w:t>
      </w:r>
    </w:p>
    <w:p>
      <w:pPr>
        <w:jc w:val="both"/>
      </w:pPr>
      <w:r>
        <w:t>Es la propuesta de mayor gasto del eje: la conectividad recurrente de miles de locales públicos genera un costo anual que debe programarse en los presupuestos de Educación, Salud y gobiernos regionales; parte ya se ejecuta hoy de forma dispersa. La contratación agregada por lotes regionales permite reducir precios unitarios por escala y competencia entre soluciones terrestres y satelitales. El beneficio es habilitar servicios educativos, telemedicina, historia clínica y gestión administrativa en zonas donde la escuela o la posta es el principal punto de acceso a internet, y crear demanda ancla que hace viable la red en el centro poblado. El uso comunitario fuera de horario amplía el beneficio sin costo adicional de infraestructura.</w:t>
      </w:r>
    </w:p>
    <w:p>
      <w:pPr>
        <w:pStyle w:val="Heading2"/>
      </w:pPr>
      <w:r>
        <w:t>IV. Efecto de la vigencia de la norma sobre la legislación nacional</w:t>
      </w:r>
    </w:p>
    <w:p>
      <w:pPr>
        <w:jc w:val="both"/>
      </w:pPr>
      <w:r>
        <w:t>Desarrolla los artículos 17 a 19 de la Ley 29904. Complementa la Ley 28900. No deroga normas.</w:t>
      </w:r>
    </w:p>
    <w:p>
      <w:pPr>
        <w:pStyle w:val="Heading2"/>
      </w:pPr>
      <w:r>
        <w:t>V. Antecedentes</w:t>
      </w:r>
    </w:p>
    <w:p>
      <w:pPr>
        <w:jc w:val="both"/>
      </w:pPr>
      <w:r>
        <w:t>Por verificar en SPLEY.</w:t>
      </w:r>
    </w:p>
    <w:p>
      <w:pPr>
        <w:pStyle w:val="Heading2"/>
      </w:pPr>
      <w:r>
        <w:t>VI. Indicador de éxito</w:t>
      </w:r>
    </w:p>
    <w:p>
      <w:pPr>
        <w:jc w:val="both"/>
      </w:pPr>
      <w:r>
        <w:t>100 % de instituciones educativas y establecimientos de salud públicos conectados con el estándar mínimo a 2031, verificado en el inventario público de datos abiertos.</w:t>
      </w:r>
    </w:p>
    <w:p>
      <w:pPr>
        <w:pStyle w:val="Heading2"/>
      </w:pPr>
      <w:r>
        <w:t>VII. Vinculación con la Agenda Legislativa y el Plan Perú 2050</w:t>
      </w:r>
    </w:p>
    <w:p>
      <w:r>
        <w:t>Comisiones temáticas del Plan Perú 2050: Telecomunicaciones, Educación (Tres Niveles), Salud. ODS: 4, 3.</w:t>
      </w:r>
    </w:p>
    <w:p>
      <w:pPr>
        <w:pStyle w:val="Heading2"/>
      </w:pPr>
      <w:r>
        <w:t>VIII. Referencias</w:t>
      </w:r>
    </w:p>
    <w:p>
      <w:pPr>
        <w:pStyle w:val="ListBullet"/>
      </w:pPr>
      <w:r>
        <w:t>Ley 29904, Ley de Promoción de la Banda Ancha y Construcción de la Red Dorsal Nacional de Fibra Óptica — https://leyes.congreso.gob.pe/Documentos/Leyes/29904.pdf</w:t>
      </w:r>
    </w:p>
    <w:p>
      <w:pPr>
        <w:pStyle w:val="ListBullet"/>
      </w:pPr>
      <w:r>
        <w:t>Ley 28900, Ley que otorga al Fondo de Inversión en Telecomunicaciones - FITEL la calidad de persona jurídica de derecho público — https://leyes.congreso.gob.pe/Documentos/Leyes/28900.pdf</w:t>
      </w:r>
    </w:p>
    <w:p>
      <w:pPr>
        <w:pStyle w:val="ListBullet"/>
      </w:pPr>
      <w:r>
        <w:t>Decreto Legislativo 1362, que regula la promoción de la inversión privada mediante Asociaciones Público Privadas y Proyectos en Activos — https://leyes.congreso.gob.pe/Documentos/DecretosLegislativos/01362.pdf</w:t>
      </w:r>
    </w:p>
    <w:p>
      <w:pPr>
        <w:pStyle w:val="ListBullet"/>
      </w:pPr>
      <w:r>
        <w:t>Internacional (UNICEF-UIT): Iniciativa Giga para conectar todas las escuelas — https://giga.global/</w:t>
      </w:r>
    </w:p>
    <w:p>
      <w:pPr>
        <w:pStyle w:val="ListBullet"/>
      </w:pPr>
      <w:r>
        <w:t>Brasil: Lei 14.172 de 2021, garantía de acceso a internet con fines educativos para alumnos y profesores de la educación básica pública — https://www.planalto.gov.br/ccivil_03/_ato2019-2022/2021/lei/L14172.htm</w:t>
      </w:r>
    </w:p>
    <w:p>
      <w:pPr>
        <w:pStyle w:val="ListBullet"/>
      </w:pPr>
      <w:r>
        <w:t>INEI, Estadísticas de las Tecnologías de Información y Comunicación en los Hogares, II trimestre 2026 (ENAHO) — https://www.inei.gob.pe/media/MenuRecursivo/boletines/boletin-tic-iit2026.pdf</w:t>
      </w:r>
    </w:p>
    <w:p>
      <w:pPr>
        <w:pStyle w:val="ListBullet"/>
      </w:pPr>
      <w:r>
        <w:t>Giga (UNICEF-UIT): Connect every school — https://giga.global/</w:t>
      </w:r>
    </w:p>
    <w:p>
      <w:pPr>
        <w:pStyle w:val="ListBullet"/>
      </w:pPr>
      <w:r>
        <w:t>PRONATEL, Programa Nacional de Telecomunicaciones (MTC) — https://www.gob.pe/pronatel</w:t>
      </w:r>
    </w:p>
    <w:p>
      <w:r>
        <w:t>Fuente: Agenda Legislativa Tech Perú 2026–2031 (https://unimauro.github.io/agenda-legislativa-tech/p/CON-13.html), propuesta ciudadana CC BY 4.0.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Ley que garantiza la conectividad de banda ancha de todas las instituciones educativas y establecimientos de salud públicos mediante la Red Nacional del Estado</dc:title>
  <dc:subject/>
  <dc:creator>Agenda Legislativa Tech Perú</dc:creator>
  <cp:keywords/>
  <dc:description>generated by python-docx</dc:description>
  <cp:lastModifiedBy/>
  <cp:revision>1</cp:revision>
  <dcterms:created xsi:type="dcterms:W3CDTF">2013-12-23T23:15:00Z</dcterms:created>
  <dcterms:modified xsi:type="dcterms:W3CDTF">2013-12-23T23:15:00Z</dcterms:modified>
  <cp:category/>
</cp:coreProperties>
</file>