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DE RESILIENCIA Y CONTINUIDAD DE LAS TELECOMUNICACIONES ANTE DESASTRES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DE RESILIENCIA Y CONTINUIDAD DE LAS TELECOMUNICACIONES ANTE DESASTRES</w:t>
      </w:r>
    </w:p>
    <w:p>
      <w:pPr>
        <w:jc w:val="both"/>
      </w:pPr>
      <w:r>
        <w:rPr>
          <w:b/>
        </w:rPr>
        <w:t>Artículo 1. Objeto</w:t>
        <w:br/>
      </w:r>
      <w:r>
        <w:t>La presente ley tiene por objeto fortalecer la resiliencia de las redes de telecomunicaciones y garantizar la continuidad y la pronta recuperación de los servicios en situaciones de emergencia o desastre.</w:t>
      </w:r>
    </w:p>
    <w:p>
      <w:pPr>
        <w:jc w:val="both"/>
      </w:pPr>
      <w:r>
        <w:rPr>
          <w:b/>
        </w:rPr>
        <w:t>Artículo 2. Infraestructura crítica de telecomunicaciones</w:t>
        <w:br/>
      </w:r>
      <w:r>
        <w:t>El Ministerio de Transportes y Comunicaciones, con opinión del OSIPTEL, clasifica como críticos los elementos de red cuya falla afecte significativamente la comunicación de la población o de las entidades de primera respuesta, conforme a criterios públicos.</w:t>
      </w:r>
    </w:p>
    <w:p>
      <w:pPr>
        <w:jc w:val="both"/>
      </w:pPr>
      <w:r>
        <w:rPr>
          <w:b/>
        </w:rPr>
        <w:t>Artículo 3. Planes de continuidad</w:t>
        <w:br/>
      </w:r>
      <w:r>
        <w:t>Los concesionarios de servicios públicos de telecomunicaciones cuentan con planes de continuidad y recuperación ante desastres, aprobados por su máxima instancia, que se remiten al Ministerio de Transportes y Comunicaciones y se prueban mediante simulacros al menos una vez al año, en coordinación con el Instituto Nacional de Defensa Civil.</w:t>
      </w:r>
    </w:p>
    <w:p>
      <w:pPr>
        <w:jc w:val="both"/>
      </w:pPr>
      <w:r>
        <w:rPr>
          <w:b/>
        </w:rPr>
        <w:t>Artículo 4. Respaldo energético y redundancia</w:t>
        <w:br/>
      </w:r>
      <w:r>
        <w:t>4.1 Los elementos de red clasificados como críticos cuentan con respaldo energético de autonomía mínima que fija el reglamento según zona de riesgo, priorizando soluciones con energía renovable y almacenamiento.</w:t>
        <w:br/>
        <w:t>4.2 Los enlaces que conectan capitales de provincia cuentan con rutas redundantes, terrestres o satelitales, conforme al cronograma que apruebe el Ministerio de Transportes y Comunicaciones.</w:t>
      </w:r>
    </w:p>
    <w:p>
      <w:pPr>
        <w:jc w:val="both"/>
      </w:pPr>
      <w:r>
        <w:rPr>
          <w:b/>
        </w:rPr>
        <w:t>Artículo 5. Itinerancia nacional de emergencia</w:t>
        <w:br/>
      </w:r>
      <w:r>
        <w:t>Declarado un estado de emergencia por desastre, los concesionarios de servicios móviles habilitan, de manera temporal y automática, la itinerancia nacional en las zonas afectadas para que los usuarios puedan comunicarse por cualquier red disponible, en las condiciones técnicas y económicas que establezca el OSIPTEL.</w:t>
      </w:r>
    </w:p>
    <w:p>
      <w:pPr>
        <w:jc w:val="both"/>
      </w:pPr>
      <w:r>
        <w:rPr>
          <w:b/>
        </w:rPr>
        <w:t>Artículo 6. Alertas masivas</w:t>
        <w:br/>
      </w:r>
      <w:r>
        <w:t>Los concesionarios de servicios móviles difunden, sin costo para el usuario, las alertas que emitan las autoridades competentes del Sistema Nacional de Gestión del Riesgo de Desastres mediante tecnologías de difusión celular georreferenciada, conforme a la regulación del Ministerio de Transportes y Comunicaciones.</w:t>
      </w:r>
    </w:p>
    <w:p>
      <w:pPr>
        <w:jc w:val="both"/>
      </w:pPr>
      <w:r>
        <w:rPr>
          <w:b/>
        </w:rPr>
        <w:t>Artículo 7. Red de comunicaciones de emergencia</w:t>
        <w:br/>
      </w:r>
      <w:r>
        <w:t>El Ministerio de Transportes y Comunicaciones asegura la operatividad de una red de comunicaciones de emergencia para las entidades de primera respuesta, con capacidad satelital y equipos desplegables, articulada con la red mayorista pública de fibra óptica y la REDNACE.</w:t>
      </w:r>
    </w:p>
    <w:p>
      <w:pPr>
        <w:jc w:val="both"/>
      </w:pPr>
      <w:r>
        <w:rPr>
          <w:b/>
        </w:rPr>
        <w:t>Artículo 8. Reporte de incidencias</w:t>
        <w:br/>
      </w:r>
      <w:r>
        <w:t>Los concesionarios reportan al OSIPTEL las interrupciones significativas en los plazos que este establezca. El OSIPTEL publica en datos abiertos el estado de los servicios en las zonas afectadas durante la emergencia y un informe posterior con lecciones aprendidas.</w:t>
      </w:r>
    </w:p>
    <w:p>
      <w:pPr>
        <w:jc w:val="both"/>
      </w:pPr>
      <w:r>
        <w:rPr>
          <w:b/>
        </w:rPr>
        <w:t>Artículo 9. Articulación con el SINAGERD</w:t>
        <w:br/>
      </w:r>
      <w:r>
        <w:t>Incorpórase a los concesionarios de servicios públicos de telecomunicaciones en los procesos de preparación, respuesta y rehabilitación previstos en la Ley 29664, en coordinación con el Ministerio de Transportes y Comunicaciones como sector responsable.</w:t>
      </w:r>
    </w:p>
    <w:p>
      <w:pPr>
        <w:jc w:val="both"/>
      </w:pPr>
      <w:r>
        <w:rPr>
          <w:b/>
        </w:rPr>
        <w:t>Primera. Disposición Complementaria Final</w:t>
        <w:br/>
      </w:r>
      <w:r>
        <w:t>Reglamentación. El Poder Ejecutivo reglamenta la presente ley en un plazo de ciento veinte días hábiles, con opinión del OSIPTEL y del Centro Nacional de Estimación, Prevención y Reducción del Riesgo de Desastres.</w:t>
      </w:r>
    </w:p>
    <w:p>
      <w:pPr>
        <w:jc w:val="both"/>
      </w:pPr>
      <w:r>
        <w:rPr>
          <w:b/>
        </w:rPr>
        <w:t>Segunda. Disposición Complementaria Final</w:t>
        <w:br/>
      </w:r>
      <w:r>
        <w:t>Adecuación gradual. Los concesionarios se adecuan a las exigencias de respaldo energético y redundancia en un plazo máximo de tres años, priorizando las zonas de mayor riesgo identificadas por el SINAGERD.</w:t>
      </w:r>
    </w:p>
    <w:p>
      <w:pPr>
        <w:jc w:val="both"/>
      </w:pPr>
      <w:r>
        <w:rPr>
          <w:b/>
        </w:rPr>
        <w:t>Tercera. Disposición Complementaria Final</w:t>
        <w:br/>
      </w:r>
      <w:r>
        <w:t>Financiamiento. La red de comunicaciones de emergencia se financia con cargo al presupuesto institucional del Ministerio de Transportes y Comunicaciones y a los recursos de la Ley 28900,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El Perú está expuesto a sismos, tsunamis, lluvias intensas asociadas a El Niño, huaicos y heladas, que dañan torres, fibra y suministro eléctrico y pueden dejar sin comunicaciones a poblaciones enteras en las horas críticas. La Ley 29664 crea el Sistema Nacional de Gestión del Riesgo de Desastres, pero no establece con rango legal obligaciones específicas para los operadores de telecomunicaciones, como autonomía energética mínima de los sitios críticos, itinerancia (roaming) nacional automática en emergencias o redundancia de rutas. La Comisión Temática de Telecomunicaciones del Plan Perú 2050 plantea una infraestructura dual terrestre y satelital que garantice conectividad redundante, continuidad y seguridad. Chile, tras el terremoto de 2010, aprobó la Ley 20.478 sobre recuperación y continuidad de las telecomunicaciones en condiciones críticas y de emergencia, que sirve de referencia.</w:t>
      </w:r>
    </w:p>
    <w:p>
      <w:pPr>
        <w:pStyle w:val="Heading2"/>
      </w:pPr>
      <w:r>
        <w:t>II. Objeto</w:t>
      </w:r>
    </w:p>
    <w:p>
      <w:pPr>
        <w:jc w:val="both"/>
      </w:pPr>
      <w:r>
        <w:t>Garantizar la continuidad y la pronta recuperación de los servicios de telecomunicaciones en situaciones de emergencia y desastre, y su articulación con la gestión del riesgo de desastres.</w:t>
      </w:r>
    </w:p>
    <w:p>
      <w:pPr>
        <w:pStyle w:val="Heading2"/>
      </w:pPr>
      <w:r>
        <w:t>III. Análisis costo-beneficio</w:t>
      </w:r>
    </w:p>
    <w:p>
      <w:pPr>
        <w:jc w:val="both"/>
      </w:pPr>
      <w:r>
        <w:t>El mayor costo recae en los operadores: baterías y generación de respaldo en sitios críticos y rutas redundantes, que se gradúan por zona de riesgo y con plazo de adecuación de tres años para no encarecer de golpe el servicio. La itinerancia de emergencia y las alertas masivas usan capacidades técnicas ya disponibles en las redes móviles, con costo marginal acotado. Para el Estado, el costo es mantener la red de emergencia, financiable con el presupuesto del MTC y el fondo de acceso universal. El beneficio es reducir el tiempo sin comunicaciones en desastres, cuando la coordinación de rescate, la información a la población y la continuidad económica dependen de ellas.</w:t>
      </w:r>
    </w:p>
    <w:p>
      <w:pPr>
        <w:pStyle w:val="Heading2"/>
      </w:pPr>
      <w:r>
        <w:t>IV. Efecto de la vigencia de la norma sobre la legislación nacional</w:t>
      </w:r>
    </w:p>
    <w:p>
      <w:pPr>
        <w:jc w:val="both"/>
      </w:pPr>
      <w:r>
        <w:t>Complementa la Ley 29664 y el Texto Único Ordenado de la Ley de Telecomunicaciones (Decreto Supremo 013-93-TCC). No deroga normas.</w:t>
      </w:r>
    </w:p>
    <w:p>
      <w:pPr>
        <w:pStyle w:val="Heading2"/>
      </w:pPr>
      <w:r>
        <w:t>V. Antecedentes</w:t>
      </w:r>
    </w:p>
    <w:p>
      <w:pPr>
        <w:jc w:val="both"/>
      </w:pPr>
      <w:r>
        <w:t>Por verificar en SPLEY.</w:t>
      </w:r>
    </w:p>
    <w:p>
      <w:pPr>
        <w:pStyle w:val="Heading2"/>
      </w:pPr>
      <w:r>
        <w:t>VI. Indicador de éxito</w:t>
      </w:r>
    </w:p>
    <w:p>
      <w:pPr>
        <w:jc w:val="both"/>
      </w:pPr>
      <w:r>
        <w:t>Itinerancia de emergencia y alertas por difusión celular operativas a 2028; 100 % de elementos de red críticos con respaldo energético mínimo a 2030; informe público posterior a cada emergencia declarada.</w:t>
      </w:r>
    </w:p>
    <w:p>
      <w:pPr>
        <w:pStyle w:val="Heading2"/>
      </w:pPr>
      <w:r>
        <w:t>VII. Vinculación con la Agenda Legislativa y el Plan Perú 2050</w:t>
      </w:r>
    </w:p>
    <w:p>
      <w:r>
        <w:t>Comisiones temáticas del Plan Perú 2050: Telecomunicaciones, Orden Público y Seguridad, Infraestructura y Construcción. ODS: 11, 13.</w:t>
      </w:r>
    </w:p>
    <w:p>
      <w:pPr>
        <w:pStyle w:val="Heading2"/>
      </w:pPr>
      <w:r>
        <w:t>VIII. Referencias</w:t>
      </w:r>
    </w:p>
    <w:p>
      <w:pPr>
        <w:pStyle w:val="ListBullet"/>
      </w:pPr>
      <w:r>
        <w:t>Ley 29664, Ley que crea el Sistema Nacional de Gestión del Riesgo de Desastres (SINAGERD) — https://leyes.congreso.gob.pe/Documentos/Leyes/29664.pdf</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29904, Ley de Promoción de la Banda Ancha y Construcción de la Red Dorsal Nacional de Fibra Óptica — https://leyes.congreso.gob.pe/Documentos/Leyes/29904.pdf</w:t>
      </w:r>
    </w:p>
    <w:p>
      <w:pPr>
        <w:pStyle w:val="ListBullet"/>
      </w:pPr>
      <w:r>
        <w:t>Ley 27332, Ley Marco de los Organismos Reguladores de la Inversión Privada en los Servicios Públicos — https://leyes.congreso.gob.pe/Documentos/Leyes/27332.pdf</w:t>
      </w:r>
    </w:p>
    <w:p>
      <w:pPr>
        <w:pStyle w:val="ListBullet"/>
      </w:pPr>
      <w:r>
        <w:t>Chile: Ley 20.478 (2010), sobre recuperación y continuidad en condiciones críticas y de emergencia del sistema público de telecomunicaciones — https://www.bcn.cl/leychile/navegar?idNorma=1020622</w:t>
      </w:r>
    </w:p>
    <w:p>
      <w:pPr>
        <w:pStyle w:val="ListBullet"/>
      </w:pPr>
      <w:r>
        <w:t>Unión Europea: Recomendación (UE) 2024/779 sobre la seguridad y resiliencia de las infraestructuras de cables submarinos — https://digital-strategy.ec.europa.eu/en/library/recommendation-security-and-resilience-submarine-cable-infrastructures</w:t>
      </w:r>
    </w:p>
    <w:p>
      <w:pPr>
        <w:pStyle w:val="ListBullet"/>
      </w:pPr>
      <w:r>
        <w:t>OSIPTEL, informes y publicaciones — https://www.gob.pe/institucion/osiptel/informes-publicaciones</w:t>
      </w:r>
    </w:p>
    <w:p>
      <w:pPr>
        <w:pStyle w:val="ListBullet"/>
      </w:pPr>
      <w:r>
        <w:t>Ministerio de Transportes y Comunicaciones — https://www.gob.pe/mtc</w:t>
      </w:r>
    </w:p>
    <w:p>
      <w:r>
        <w:t>Fuente: Agenda Legislativa Tech Perú 2026–2031 (https://unimauro.github.io/agenda-legislativa-tech/p/CON-14.html),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resiliencia y continuidad de las telecomunicaciones ante desastres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