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UN PISO DE PROTECCIÓN SOCIAL, SEGURIDAD Y TRANSPARENCIA PARA LAS PERSONAS QUE PRESTAN SERVICIOS A TRAVÉS DE PLATAFORMAS DIGITALES DE REPARTO Y MOVILIDAD</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UN PISO DE PROTECCIÓN SOCIAL, SEGURIDAD Y TRANSPARENCIA PARA LAS PERSONAS QUE PRESTAN SERVICIOS A TRAVÉS DE PLATAFORMAS DIGITALES DE REPARTO Y MOVILIDAD</w:t>
      </w:r>
    </w:p>
    <w:p>
      <w:pPr>
        <w:jc w:val="both"/>
      </w:pPr>
      <w:r>
        <w:rPr>
          <w:b/>
        </w:rPr>
        <w:t>Artículo 1. Objeto</w:t>
        <w:br/>
      </w:r>
      <w:r>
        <w:t>La presente ley tiene por objeto establecer un piso mínimo de protección social, seguridad y transparencia para las personas que prestan servicios de reparto o de transporte de pasajeros a través de plataformas digitales, cualquiera sea la naturaleza jurídica de la relación.</w:t>
      </w:r>
    </w:p>
    <w:p>
      <w:pPr>
        <w:jc w:val="both"/>
      </w:pPr>
      <w:r>
        <w:rPr>
          <w:b/>
        </w:rPr>
        <w:t>Artículo 2. Primacía de la realidad</w:t>
        <w:br/>
      </w:r>
      <w:r>
        <w:t>Lo dispuesto en la presente ley no prejuzga la naturaleza laboral o independiente de la relación entre la persona prestadora y la plataforma, la cual se determina conforme al principio de primacía de la realidad y a la legislación laboral vigente. El cumplimiento de la presente ley no puede ser invocado como indicio de laboralidad ni de autonomía.</w:t>
      </w:r>
    </w:p>
    <w:p>
      <w:pPr>
        <w:jc w:val="both"/>
      </w:pPr>
      <w:r>
        <w:rPr>
          <w:b/>
        </w:rPr>
        <w:t>Artículo 3. Registro de plataformas</w:t>
        <w:br/>
      </w:r>
      <w:r>
        <w:t>Las empresas que operan plataformas digitales de reparto o movilidad en el país se inscriben en un registro a cargo del Ministerio de Trabajo y Promoción del Empleo, de carácter gratuito y en línea, y reportan semestralmente el número de personas prestadoras activas, preservando la confidencialidad comercial.</w:t>
      </w:r>
    </w:p>
    <w:p>
      <w:pPr>
        <w:jc w:val="both"/>
      </w:pPr>
      <w:r>
        <w:rPr>
          <w:b/>
        </w:rPr>
        <w:t>Artículo 4. Seguro obligatorio de accidentes</w:t>
        <w:br/>
      </w:r>
      <w:r>
        <w:t>La plataforma contrata, a su cargo, un seguro de accidentes personales que cubra a la persona prestadora durante el tiempo de conexión y la ejecución del servicio, con coberturas mínimas de muerte, invalidez y gastos de atención médica, conforme a los montos que fije el reglamento. Este seguro no sustituye al SOAT ni al Seguro Complementario de Trabajo de Riesgo cuando este último corresponda.</w:t>
      </w:r>
    </w:p>
    <w:p>
      <w:pPr>
        <w:jc w:val="both"/>
      </w:pPr>
      <w:r>
        <w:rPr>
          <w:b/>
        </w:rPr>
        <w:t>Artículo 5. Aporte a la seguridad social en salud</w:t>
        <w:br/>
      </w:r>
      <w:r>
        <w:t>La plataforma retiene y aporta a EsSalud, por cuenta de la persona prestadora que lo solicite, un porcentaje de los ingresos que le abona, con la contribución adicional de la plataforma que fije el reglamento, a fin de garantizar su afiliación como asegurado regular o potestativo conforme a la Ley 26790.</w:t>
      </w:r>
    </w:p>
    <w:p>
      <w:pPr>
        <w:jc w:val="both"/>
      </w:pPr>
      <w:r>
        <w:rPr>
          <w:b/>
        </w:rPr>
        <w:t>Artículo 6. Transparencia de tarifas y asignación</w:t>
        <w:br/>
      </w:r>
      <w:r>
        <w:t>La plataforma informa a la persona prestadora, antes de aceptar cada servicio, el pago estimado y la distancia; y pone a su disposición, de forma comprensible, los criterios principales que inciden en la asignación de servicios, la tarifa y la evaluación de desempeño.</w:t>
      </w:r>
    </w:p>
    <w:p>
      <w:pPr>
        <w:jc w:val="both"/>
      </w:pPr>
      <w:r>
        <w:rPr>
          <w:b/>
        </w:rPr>
        <w:t>Artículo 7. Desactivación de cuentas</w:t>
        <w:br/>
      </w:r>
      <w:r>
        <w:t>La suspensión o desactivación de la cuenta de la persona prestadora debe ser motivada y comunicada por escrito, salvo riesgo inminente para terceros. La persona tiene derecho a solicitar la revisión por una persona humana y a obtener respuesta en un plazo no mayor de diez días hábiles.</w:t>
      </w:r>
    </w:p>
    <w:p>
      <w:pPr>
        <w:jc w:val="both"/>
      </w:pPr>
      <w:r>
        <w:rPr>
          <w:b/>
        </w:rPr>
        <w:t>Artículo 8. Seguridad y salud</w:t>
        <w:br/>
      </w:r>
      <w:r>
        <w:t>Las plataformas adoptan medidas razonables de prevención de riesgos, incluyendo información sobre seguridad vial, límites de tiempo de conexión continua y facilidades de acceso a puntos de descanso cuando corresponda.</w:t>
      </w:r>
    </w:p>
    <w:p>
      <w:pPr>
        <w:jc w:val="both"/>
      </w:pPr>
      <w:r>
        <w:rPr>
          <w:b/>
        </w:rPr>
        <w:t>Artículo 9. Fiscalización</w:t>
        <w:br/>
      </w:r>
      <w:r>
        <w:t>La SUNAFIL fiscaliza el cumplimiento de las obligaciones previstas en los artículos 3, 4, 6, 7 y 8; y EsSalud, en coordinación con la SUNAT, las del artículo 5.</w:t>
      </w:r>
    </w:p>
    <w:p>
      <w:pPr>
        <w:jc w:val="both"/>
      </w:pPr>
      <w:r>
        <w:rPr>
          <w:b/>
        </w:rPr>
        <w:t>Artículo 10. Financiamiento</w:t>
        <w:br/>
      </w:r>
      <w:r>
        <w:t>La implementación de la presente ley se financia con cargo al presupuesto institucional de las entidades involucradas, sin demandar recursos adicionales al Tesoro Público.</w:t>
      </w:r>
    </w:p>
    <w:p>
      <w:pPr>
        <w:jc w:val="both"/>
      </w:pPr>
      <w:r>
        <w:rPr>
          <w:b/>
        </w:rPr>
        <w:t>Primera. Disposición Complementaria Final</w:t>
        <w:br/>
      </w:r>
      <w:r>
        <w:t>El Poder Ejecutivo, mediante decreto supremo refrendado por el Ministro de Trabajo y Promoción del Empleo y el Ministro de Economía y Finanzas, reglamenta la presente ley en un plazo de noventa días hábiles, previa consulta en el Consejo Nacional de Trabajo y Promoción del Empleo.</w:t>
      </w:r>
    </w:p>
    <w:p>
      <w:pPr>
        <w:jc w:val="both"/>
      </w:pPr>
      <w:r>
        <w:rPr>
          <w:b/>
        </w:rPr>
        <w:t>Segunda. Disposición Complementaria Final</w:t>
        <w:br/>
      </w:r>
      <w:r>
        <w:t>El Ministerio de Trabajo y Promoción del Empleo evalúa y presenta, en un plazo de un año, un informe sobre la ratificación del Convenio 193 de la OIT.</w:t>
      </w:r>
    </w:p>
    <w:p>
      <w:r>
        <w:t>Lima, ___ de __________ de 20__</w:t>
      </w:r>
    </w:p>
    <w:p>
      <w:r>
        <w:br w:type="page"/>
      </w:r>
    </w:p>
    <w:p>
      <w:pPr>
        <w:pStyle w:val="Heading1"/>
      </w:pPr>
      <w:r>
        <w:t>EXPOSICIÓN DE MOTIVOS</w:t>
      </w:r>
    </w:p>
    <w:p>
      <w:pPr>
        <w:pStyle w:val="Heading2"/>
      </w:pPr>
      <w:r>
        <w:t>I. Fundamentos y problema</w:t>
      </w:r>
    </w:p>
    <w:p>
      <w:pPr>
        <w:jc w:val="both"/>
      </w:pPr>
      <w:r>
        <w:t>Miles de personas trabajan en el Perú como repartidores o conductores mediante aplicaciones, sin un marco legal específico. Según El Peruano (2026), no existe una norma que defina la naturaleza de esta actividad, la Corte Suprema no ha unificado criterios y los jueces aplican la primacía de la realidad caso por caso, con decisiones no uniformes. En el periodo 2021-2026 se presentaron varios proyectos de ley que buscaban otorgar derechos laborales a repartidores; alguno obtuvo dictamen en la Comisión de Trabajo, pero ninguno se convirtió en ley, en medio de una fuerte controversia entre gremios empresariales y organizaciones de trabajadores. Mientras tanto, la mayoría presta servicios sin seguro frente a accidentes de tránsito, pese al riesgo de la actividad. En junio de 2026 la Conferencia Internacional del Trabajo adoptó el Convenio 193 de la OIT sobre el trabajo decente en la economía de plataformas, que deja a cada Estado la clasificación de la relación pero exige proteger derechos fundamentales de todos los trabajadores de plataformas, independientemente de su clasificación. España (Ley 12/2021) y la Unión Europea (Directiva 2024/2831) han legislado, con enfoques distintos.</w:t>
      </w:r>
    </w:p>
    <w:p>
      <w:pPr>
        <w:pStyle w:val="Heading2"/>
      </w:pPr>
      <w:r>
        <w:t>II. Objeto</w:t>
      </w:r>
    </w:p>
    <w:p>
      <w:pPr>
        <w:jc w:val="both"/>
      </w:pPr>
      <w:r>
        <w:t>Garantizar un piso mínimo de protección social, seguridad y transparencia a quienes prestan servicios mediante plataformas de reparto y movilidad, cualquiera sea la calificación de la relación.</w:t>
      </w:r>
    </w:p>
    <w:p>
      <w:pPr>
        <w:pStyle w:val="Heading2"/>
      </w:pPr>
      <w:r>
        <w:t>III. Análisis costo-beneficio</w:t>
      </w:r>
    </w:p>
    <w:p>
      <w:pPr>
        <w:jc w:val="both"/>
      </w:pPr>
      <w:r>
        <w:t>No genera gasto público; las obligaciones (seguro de accidentes, aportes a salud, transparencia) recaen en las plataformas, que pueden trasladar parte del costo a tarifas. El aporte a EsSalud amplía su base contributiva. Al no definir la naturaleza de la relación, la ley evita el principal punto de bloqueo de debates previos y deja a la primacía de la realidad su función. El beneficio es reducir la desprotección frente a accidentes de tránsito y la arbitrariedad en desactivaciones, alineando al país con el Convenio 193 de la OIT. El riesgo de menor oferta de servicios se mitiga con reglas proporcionales fijadas en el reglamento.</w:t>
      </w:r>
    </w:p>
    <w:p>
      <w:pPr>
        <w:pStyle w:val="Heading2"/>
      </w:pPr>
      <w:r>
        <w:t>IV. Efecto de la vigencia de la norma sobre la legislación nacional</w:t>
      </w:r>
    </w:p>
    <w:p>
      <w:pPr>
        <w:jc w:val="both"/>
      </w:pPr>
      <w:r>
        <w:t>Complementa la Ley 26790 y la legislación laboral vigente. No modifica la regulación de transporte terrestre ni deroga normas.</w:t>
      </w:r>
    </w:p>
    <w:p>
      <w:pPr>
        <w:pStyle w:val="Heading2"/>
      </w:pPr>
      <w:r>
        <w:t>V. Antecedentes</w:t>
      </w:r>
    </w:p>
    <w:p>
      <w:pPr>
        <w:jc w:val="both"/>
      </w:pPr>
      <w:r>
        <w:t>Existen proyectos de ley del periodo 2021-2026 sobre repartidores, con dictámenes en la Comisión de Trabajo; números por verificar en SPLEY.</w:t>
      </w:r>
    </w:p>
    <w:p>
      <w:pPr>
        <w:pStyle w:val="Heading2"/>
      </w:pPr>
      <w:r>
        <w:t>VI. Indicador de éxito</w:t>
      </w:r>
    </w:p>
    <w:p>
      <w:pPr>
        <w:jc w:val="both"/>
      </w:pPr>
      <w:r>
        <w:t>Al 2031, 100% de plataformas registradas ante el MTPE con seguro de accidentes vigente para sus prestadores y reporte semestral de prestadores activos y afiliados a EsSalud.</w:t>
      </w:r>
    </w:p>
    <w:p>
      <w:pPr>
        <w:pStyle w:val="Heading2"/>
      </w:pPr>
      <w:r>
        <w:t>VII. Vinculación con la Agenda Legislativa y el Plan Perú 2050</w:t>
      </w:r>
    </w:p>
    <w:p>
      <w:r>
        <w:t>Comisiones temáticas del Plan Perú 2050: Previsión, Perú en La Era Digital. ODS: 3, 8.</w:t>
      </w:r>
    </w:p>
    <w:p>
      <w:pPr>
        <w:pStyle w:val="Heading2"/>
      </w:pPr>
      <w:r>
        <w:t>VIII. Referencias</w:t>
      </w:r>
    </w:p>
    <w:p>
      <w:pPr>
        <w:pStyle w:val="ListBullet"/>
      </w:pPr>
      <w:r>
        <w:t>Ley 26790, Ley de Modernización de la Seguridad Social en Salud — https://www.leyes.congreso.gob.pe/Documentos/Leyes/26790.pdf</w:t>
      </w:r>
    </w:p>
    <w:p>
      <w:pPr>
        <w:pStyle w:val="ListBullet"/>
      </w:pPr>
      <w:r>
        <w:t>Ley 27181, Ley General de Transporte y Tránsito Terrestre — https://www.leyes.congreso.gob.pe/Documentos/Leyes/27181.pdf</w:t>
      </w:r>
    </w:p>
    <w:p>
      <w:pPr>
        <w:pStyle w:val="ListBullet"/>
      </w:pPr>
      <w:r>
        <w:t>España: Ley 12/2021, derechos laborales de las personas dedicadas al reparto en plataformas digitales — https://www.boe.es/buscar/act.php?id=BOE-A-2021-15767</w:t>
      </w:r>
    </w:p>
    <w:p>
      <w:pPr>
        <w:pStyle w:val="ListBullet"/>
      </w:pPr>
      <w:r>
        <w:t>Unión Europea: Directiva (UE) 2024/2831 relativa a la mejora de las condiciones laborales en el trabajo en plataformas — https://eur-lex.europa.eu/eli/dir/2024/2831/oj</w:t>
      </w:r>
    </w:p>
    <w:p>
      <w:pPr>
        <w:pStyle w:val="ListBullet"/>
      </w:pPr>
      <w:r>
        <w:t>El Peruano — Convenio 193 de la OIT sobre trabajo decente en la economía de plataformas — https://elperuano.pe/noticia/298228-trabajas-para-una-app-conoce-que-cambia-con-el-nuevo-convenio-de-la-oit-sobre-plataformas</w:t>
      </w:r>
    </w:p>
    <w:p>
      <w:pPr>
        <w:pStyle w:val="ListBullet"/>
      </w:pPr>
      <w:r>
        <w:t>El Peruano — Trabajo en apps: ¿independiente o empleado? Lo que dice el nuevo convenio OIT — https://elperuano.pe/noticia/298103-trabajo-en-apps-independiente-o-empleado-conoce-lo-que-dice-el-nuevo-convenio-oit</w:t>
      </w:r>
    </w:p>
    <w:p>
      <w:pPr>
        <w:pStyle w:val="ListBullet"/>
      </w:pPr>
      <w:r>
        <w:t>Bloomberg Línea — Avanza regulación laboral en apps de delivery en Perú — https://www.bloomberglinea.com/latinoamerica/peru/avanza-regulacion-laboral-en-apps-de-delivery-en-peru-que-pasa-en-otros-paises/</w:t>
      </w:r>
    </w:p>
    <w:p>
      <w:r>
        <w:t>Fuente: Agenda Legislativa Tech Perú 2026–2031 (https://unimauro.github.io/agenda-legislativa-tech/p/ECO-11.html),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un piso de protección social, seguridad y transparencia para las personas que prestan servicios a través de plataformas digitales de reparto y movilidad</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