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FORTALECE LA INTEROPERABILIDAD OBLIGATORIA Y GARANTIZA EL PRINCIPIO DE "SOLO UNA VEZ" EN LA ADMINISTRACIÓN PÚBLICA, MODIFICANDO EL DECRETO LEGISLATIVO 1246</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FORTALECE LA INTEROPERABILIDAD OBLIGATORIA Y GARANTIZA EL PRINCIPIO DE "SOLO UNA VEZ" EN LA ADMINISTRACIÓN PÚBLICA, MODIFICANDO EL DECRETO LEGISLATIVO 1246</w:t>
      </w:r>
    </w:p>
    <w:p>
      <w:pPr>
        <w:jc w:val="both"/>
      </w:pPr>
      <w:r>
        <w:rPr>
          <w:b/>
        </w:rPr>
        <w:t>Artículo 1. Objeto</w:t>
        <w:br/>
      </w:r>
      <w:r>
        <w:t>La presente ley tiene por objeto garantizar el derecho de toda persona a no proporcionar a las entidades de la Administración Pública información, datos o documentos que obren en poder de cualquier entidad pública, y fortalecer la obligación de interoperabilidad prevista en el Decreto Legislativo 1246 y en el Decreto Legislativo 1412.</w:t>
      </w:r>
    </w:p>
    <w:p>
      <w:pPr>
        <w:jc w:val="both"/>
      </w:pPr>
      <w:r>
        <w:rPr>
          <w:b/>
        </w:rPr>
        <w:t>Artículo 2. Ámbito de aplicación</w:t>
        <w:br/>
      </w:r>
      <w:r>
        <w:t>La presente ley es aplicable a las entidades señaladas en el artículo I del Título Preliminar del Texto Único Ordenado de la Ley 27444, Ley del Procedimiento Administrativo General, incluidos los gobiernos regionales y locales, así como a las personas jurídicas bajo el régimen privado que prestan servicios públicos o ejercen función administrativa.</w:t>
      </w:r>
    </w:p>
    <w:p>
      <w:pPr>
        <w:jc w:val="both"/>
      </w:pPr>
      <w:r>
        <w:rPr>
          <w:b/>
        </w:rPr>
        <w:t>Artículo 3. Principio de solo una vez</w:t>
        <w:br/>
      </w:r>
      <w:r>
        <w:t>3.1 Las entidades no pueden exigir al administrado información o documentos que hayan sido emitidos o se encuentren en poder de cualquier entidad pública, salvo oposición expresa del titular de los datos o excepción establecida por ley.</w:t>
        <w:br/>
        <w:t>3.2 La entidad que tramita el procedimiento obtiene de oficio dicha información a través de la Plataforma de Interoperabilidad del Estado o, en su defecto, mediante consulta electrónica directa a la entidad poseedora.</w:t>
        <w:br/>
        <w:t>3.3 El tratamiento de datos personales se sujeta a la Ley 29733, Ley de Protección de Datos Personales, limitándose a la finalidad del procedimiento.</w:t>
      </w:r>
    </w:p>
    <w:p>
      <w:pPr>
        <w:jc w:val="both"/>
      </w:pPr>
      <w:r>
        <w:rPr>
          <w:b/>
        </w:rPr>
        <w:t>Artículo 4. Catálogo Nacional de Datos Interoperables</w:t>
        <w:br/>
      </w:r>
      <w:r>
        <w:t>4.1 La Presidencia del Consejo de Ministros, a través de la Secretaría de Gobierno y Transformación Digital, administra el Catálogo Nacional de Datos Interoperables, de acceso público, que identifica los datos maestros, la entidad responsable, el servicio de información disponible y su nivel de servicio.</w:t>
        <w:br/>
        <w:t>4.2 Toda entidad que posea registros de alcance nacional incorpora sus datos maestros al Catálogo en los plazos que establezca el reglamento, priorizando identidad, registros civiles, propiedad, personas jurídicas, antecedentes, grados y títulos, y situación tributaria y previsional.</w:t>
      </w:r>
    </w:p>
    <w:p>
      <w:pPr>
        <w:jc w:val="both"/>
      </w:pPr>
      <w:r>
        <w:rPr>
          <w:b/>
        </w:rPr>
        <w:t>Artículo 5. Plazo de respuesta y niveles de servicio</w:t>
        <w:br/>
      </w:r>
      <w:r>
        <w:t>5.1 La entidad poseedora atiende las consultas de interoperabilidad de forma automatizada y en tiempo real. Cuando la naturaleza del dato no lo permita, responde en un plazo máximo de dos (2) días hábiles.</w:t>
        <w:br/>
        <w:t>5.2 La Secretaría de Gobierno y Transformación Digital aprueba niveles mínimos de disponibilidad de los servicios de información y publica trimestralmente, en formato abierto, el cumplimiento de cada entidad.</w:t>
      </w:r>
    </w:p>
    <w:p>
      <w:pPr>
        <w:jc w:val="both"/>
      </w:pPr>
      <w:r>
        <w:rPr>
          <w:b/>
        </w:rPr>
        <w:t>Artículo 6. Efectos de la falta de interoperabilidad</w:t>
        <w:br/>
      </w:r>
      <w:r>
        <w:t>Si la información no puede obtenerse por causa imputable a la entidad poseedora o a la tramitadora, el administrado puede sustituirla con una declaración jurada, sujeta a fiscalización posterior, sin que ello suspenda ni retrase el procedimiento.</w:t>
      </w:r>
    </w:p>
    <w:p>
      <w:pPr>
        <w:jc w:val="both"/>
      </w:pPr>
      <w:r>
        <w:rPr>
          <w:b/>
        </w:rPr>
        <w:t>Artículo 7. Barrera burocrática y responsabilidad</w:t>
        <w:br/>
      </w:r>
      <w:r>
        <w:t>7.1 La exigencia de información o documentos en contravención del artículo 3 constituye barrera burocrática ilegal, conforme al Decreto Legislativo 1256, Ley de Prevención y Eliminación de Barreras Burocráticas.</w:t>
        <w:br/>
        <w:t>7.2 El incumplimiento reiterado de las obligaciones de los artículos 4 y 5 constituye falta administrativa del funcionario o servidor responsable, de acuerdo con la Ley 30057, Ley del Servicio Civil, y su régimen disciplinario.</w:t>
      </w:r>
    </w:p>
    <w:p>
      <w:pPr>
        <w:jc w:val="both"/>
      </w:pPr>
      <w:r>
        <w:rPr>
          <w:b/>
        </w:rPr>
        <w:t>Artículo 8. Canal de reporte ciudadano</w:t>
        <w:br/>
      </w:r>
      <w:r>
        <w:t>La Plataforma Digital Única del Estado Peruano (GOB.PE) habilita un canal para que el administrado reporte la exigencia indebida de documentos. Los reportes son trasladados al órgano de control institucional y al Indecopi, y sus estadísticas se publican en formato abierto.</w:t>
      </w:r>
    </w:p>
    <w:p>
      <w:pPr>
        <w:jc w:val="both"/>
      </w:pPr>
      <w:r>
        <w:rPr>
          <w:b/>
        </w:rPr>
        <w:t>Artículo 9. Modificación del artículo 5 del Decreto Legislativo 1246</w:t>
        <w:br/>
      </w:r>
      <w:r>
        <w:t>Incorpórase el numeral 5.4 al artículo 5 del Decreto Legislativo 1246, con el texto siguiente: "5.4 La relación de documentos del numeral 5.1 es enunciativa. Se encuentra prohibida la exigencia de cualquier información o documento que obre en poder de una entidad pública, conforme a la ley que garantiza el principio de solo una vez."</w:t>
      </w:r>
    </w:p>
    <w:p>
      <w:pPr>
        <w:jc w:val="both"/>
      </w:pPr>
      <w:r>
        <w:rPr>
          <w:b/>
        </w:rPr>
        <w:t>Primera. Disposición Complementaria Final</w:t>
        <w:br/>
      </w:r>
      <w:r>
        <w:t>El Poder Ejecutivo, mediante decreto supremo refrendado por la Presidencia del Consejo de Ministros, reglamenta la presente ley en un plazo máximo de noventa (90) días hábiles contados desde su publicación.</w:t>
      </w:r>
    </w:p>
    <w:p>
      <w:pPr>
        <w:jc w:val="both"/>
      </w:pPr>
      <w:r>
        <w:rPr>
          <w:b/>
        </w:rPr>
        <w:t>Segunda. Disposición Complementaria Final</w:t>
        <w:br/>
      </w:r>
      <w:r>
        <w:t>La implementación de la presente ley se financia con cargo al presupuesto institucional de los pliegos involucrados, sin demandar recursos adicionales al Tesoro Público.</w:t>
      </w:r>
    </w:p>
    <w:p>
      <w:pPr>
        <w:jc w:val="both"/>
      </w:pPr>
      <w:r>
        <w:rPr>
          <w:b/>
        </w:rPr>
        <w:t>Tercera. Disposición Complementaria Final</w:t>
        <w:br/>
      </w:r>
      <w:r>
        <w:t>La obligación del artículo 3 es exigible a las entidades del Poder Ejecutivo a los doce (12) meses de la entrada en vigencia del reglamento; a los gobiernos regionales y municipalidades provinciales, a los veinticuatro (24) meses; y a las municipalidades distritales, a los treinta y seis (36) meses.</w:t>
      </w:r>
    </w:p>
    <w:p>
      <w:r>
        <w:t>Lima, ___ de __________ de 20__</w:t>
      </w:r>
    </w:p>
    <w:p>
      <w:r>
        <w:br w:type="page"/>
      </w:r>
    </w:p>
    <w:p>
      <w:pPr>
        <w:pStyle w:val="Heading1"/>
      </w:pPr>
      <w:r>
        <w:t>EXPOSICIÓN DE MOTIVOS</w:t>
      </w:r>
    </w:p>
    <w:p>
      <w:pPr>
        <w:pStyle w:val="Heading2"/>
      </w:pPr>
      <w:r>
        <w:t>I. Fundamentos y problema</w:t>
      </w:r>
    </w:p>
    <w:p>
      <w:pPr>
        <w:jc w:val="both"/>
      </w:pPr>
      <w:r>
        <w:t>El Decreto Legislativo 1246 (2016) ya obliga a las entidades a interoperar gratuitamente y prohíbe exigir determinados documentos (copia de DNI, partidas, certificados, entre otros) en sus artículos 2 a 5. Sin embargo, casi una década después, la prohibición opera como lista cerrada y no como principio general: cualquier dato que no figure expresamente en la lista o en los decretos supremos de ampliación puede seguir siendo exigido al administrado. Además, la norma no fija plazos de respuesta para la entidad que debe proveer el dato, ni niveles mínimos de disponibilidad de los servicios de información, ni una vía rápida para que el ciudadano denuncie el incumplimiento; la carga de la descoordinación estatal recae en las personas. El DS 029-2021-PCM desarrolla la Plataforma de Interoperabilidad del Estado, pero un reglamento no puede crear obligaciones legales ni sanciones. La brecha es mayor fuera de Lima: según el INEI, en el primer trimestre de 2026 solo el 25,0% de los hogares rurales tenía acceso a Internet, frente al 82,7% de Lima Metropolitana, por lo que cada documento adicional exigido significa traslados costosos. Experiencias como X-Road en Estonia o el artículo 28 de la Ley 39/2015 española muestran que el principio de solo una vez requiere, además de tecnología, una regla general con rango de ley.</w:t>
      </w:r>
    </w:p>
    <w:p>
      <w:pPr>
        <w:pStyle w:val="Heading2"/>
      </w:pPr>
      <w:r>
        <w:t>II. Objeto</w:t>
      </w:r>
    </w:p>
    <w:p>
      <w:pPr>
        <w:jc w:val="both"/>
      </w:pPr>
      <w:r>
        <w:t>Establecer el principio de "solo una vez" como derecho exigible del administrado y fortalecer la obligación de interoperabilidad de las entidades públicas, con plazos, niveles de servicio y consecuencias por incumplimiento.</w:t>
      </w:r>
    </w:p>
    <w:p>
      <w:pPr>
        <w:pStyle w:val="Heading2"/>
      </w:pPr>
      <w:r>
        <w:t>III. Análisis costo-beneficio</w:t>
      </w:r>
    </w:p>
    <w:p>
      <w:pPr>
        <w:jc w:val="both"/>
      </w:pPr>
      <w:r>
        <w:t>La ley no crea entidades ni plazas: utiliza la Plataforma de Interoperabilidad del Estado existente y el presupuesto institucional de los pliegos. El costo principal recae en las entidades que poseen registros maestros (adecuar servicios web, garantizar disponibilidad), que puede ser significativo para registros aún no digitalizados; por ello la exigibilidad es gradual. Los beneficios son directos para las personas y empresas: menos traslados, copias y tasas, y menor tiempo de tramitación, con mayor impacto en zonas rurales. Para el Estado, reduce fraude documental y trabajo de verificación manual. No se ha cuantificado el ahorro agregado en el Perú; el reglamento debe establecer una línea de base de documentos exigidos para medirlo. Costo fiscal estimado: bajo.</w:t>
      </w:r>
    </w:p>
    <w:p>
      <w:pPr>
        <w:pStyle w:val="Heading2"/>
      </w:pPr>
      <w:r>
        <w:t>IV. Efecto de la vigencia de la norma sobre la legislación nacional</w:t>
      </w:r>
    </w:p>
    <w:p>
      <w:pPr>
        <w:jc w:val="both"/>
      </w:pPr>
      <w:r>
        <w:t>Modifica el Decreto Legislativo 1246 (incorpora el numeral 5.4 al artículo 5) y complementa el Decreto Legislativo 1412 y el TUO de la Ley 27444. Vincula su incumplimiento al régimen del Decreto Legislativo 1256 y al régimen disciplinario de la Ley 30057.</w:t>
      </w:r>
    </w:p>
    <w:p>
      <w:pPr>
        <w:pStyle w:val="Heading2"/>
      </w:pPr>
      <w:r>
        <w:t>V. Antecedentes</w:t>
      </w:r>
    </w:p>
    <w:p>
      <w:pPr>
        <w:jc w:val="both"/>
      </w:pPr>
      <w:r>
        <w:t>Por verificar en SPLEY. El marco vigente proviene del Decreto Legislativo 1246 (2016) y sus decretos supremos de ampliación.</w:t>
      </w:r>
    </w:p>
    <w:p>
      <w:pPr>
        <w:pStyle w:val="Heading2"/>
      </w:pPr>
      <w:r>
        <w:t>VI. Indicador de éxito</w:t>
      </w:r>
    </w:p>
    <w:p>
      <w:pPr>
        <w:jc w:val="both"/>
      </w:pPr>
      <w:r>
        <w:t>A 2031, el 100% de los procedimientos del Poder Ejecutivo y al menos el 70% de los de gobiernos regionales y municipalidades provinciales no exigen documentos disponibles en el Catálogo Nacional de Datos Interoperables, medido en el reporte trimestral abierto de la SGTD.</w:t>
      </w:r>
    </w:p>
    <w:p>
      <w:pPr>
        <w:pStyle w:val="Heading2"/>
      </w:pPr>
      <w:r>
        <w:t>VII. Vinculación con la Agenda Legislativa y el Plan Perú 2050</w:t>
      </w:r>
    </w:p>
    <w:p>
      <w:r>
        <w:t>Comisiones temáticas del Plan Perú 2050: Transformación Digital, Reforma Del Estado. ODS: 16, 10.</w:t>
      </w:r>
    </w:p>
    <w:p>
      <w:pPr>
        <w:pStyle w:val="Heading2"/>
      </w:pPr>
      <w:r>
        <w:t>VIII. Referencias</w:t>
      </w:r>
    </w:p>
    <w:p>
      <w:pPr>
        <w:pStyle w:val="ListBullet"/>
      </w:pPr>
      <w:r>
        <w:t>Decreto Legislativo 1246, que aprueba diversas medidas de simplificación administrativa (interoperabilidad y prohibición de exigir información y documentos) — https://www.leyes.congreso.gob.pe/Documentos/DecretosLegislativos/01246.pdf</w:t>
      </w:r>
    </w:p>
    <w:p>
      <w:pPr>
        <w:pStyle w:val="ListBullet"/>
      </w:pPr>
      <w:r>
        <w:t>Decreto Legislativo 1412, Decreto Legislativo que aprueba la Ley de Gobierno Digital — https://www.gob.pe/institucion/pcm/normas-legales/289706-1412</w:t>
      </w:r>
    </w:p>
    <w:p>
      <w:pPr>
        <w:pStyle w:val="ListBullet"/>
      </w:pPr>
      <w:r>
        <w:t>Decreto Supremo 029-2021-PCM, Reglamento del Decreto Legislativo 1412 (modificado, entre otros, por los DS 075-2023-PCM y 098-2025-PCM) — https://www.gob.pe/institucion/pcm/normas-legales/1705101-029-2021-pcm</w:t>
      </w:r>
    </w:p>
    <w:p>
      <w:pPr>
        <w:pStyle w:val="ListBullet"/>
      </w:pPr>
      <w:r>
        <w:t>Decreto Legislativo 1256, Ley de Prevención y Eliminación de Barreras Burocráticas — https://www.leyes.congreso.gob.pe/Documentos/DecretosLegislativos/01256.pdf</w:t>
      </w:r>
    </w:p>
    <w:p>
      <w:pPr>
        <w:pStyle w:val="ListBullet"/>
      </w:pPr>
      <w:r>
        <w:t>Ley 27444, Ley del Procedimiento Administrativo General (TUO aprobado por DS 004-2019-JUS) — https://www.leyes.congreso.gob.pe/Documentos/Leyes/27444.pdf</w:t>
      </w:r>
    </w:p>
    <w:p>
      <w:pPr>
        <w:pStyle w:val="ListBullet"/>
      </w:pPr>
      <w:r>
        <w:t>Ley 30057, Ley del Servicio Civil — https://www.leyes.congreso.gob.pe/Documentos/Leyes/30057.pdf</w:t>
      </w:r>
    </w:p>
    <w:p>
      <w:pPr>
        <w:pStyle w:val="ListBullet"/>
      </w:pPr>
      <w:r>
        <w:t>Estonia: X-Road: capa de intercambio de datos del Estado y principio de solo una vez — https://e-estonia.com/solutions/interoperability-services/x-road/</w:t>
      </w:r>
    </w:p>
    <w:p>
      <w:pPr>
        <w:pStyle w:val="ListBullet"/>
      </w:pPr>
      <w:r>
        <w:t>España: Ley 39/2015, del Procedimiento Administrativo Común (art. 28: derecho a no aportar documentos que obren en poder de la Administración) — https://www.boe.es/buscar/act.php?id=BOE-A-2015-10565</w:t>
      </w:r>
    </w:p>
    <w:p>
      <w:pPr>
        <w:pStyle w:val="ListBullet"/>
      </w:pPr>
      <w:r>
        <w:t>Unión Europea: Reglamento (UE) 2018/1724, pasarela digital única y sistema técnico de solo una vez — https://single-market-economy.ec.europa.eu/single-market/single-digital-gateway_en</w:t>
      </w:r>
    </w:p>
    <w:p>
      <w:pPr>
        <w:pStyle w:val="ListBullet"/>
      </w:pPr>
      <w:r>
        <w:t>Colombia: Ley 2052 de 2020 (racionalización de trámites, cadenas de trámites e interoperabilidad) — https://www.funcionpublica.gov.co/eva/gestornormativo/norma.php?i=140250</w:t>
      </w:r>
    </w:p>
    <w:p>
      <w:pPr>
        <w:pStyle w:val="ListBullet"/>
      </w:pPr>
      <w:r>
        <w:t>Uruguay: Ley 18.719, arts. 157-160 (interoperabilidad y rol de AGESIC) — https://www.impo.com.uy/bases/leyes/18719-2010</w:t>
      </w:r>
    </w:p>
    <w:p>
      <w:pPr>
        <w:pStyle w:val="ListBullet"/>
      </w:pPr>
      <w:r>
        <w:t>PCM, Secretaría de Gobierno y Transformación Digital (portal) — https://www.gob.pe/gobiernodigital</w:t>
      </w:r>
    </w:p>
    <w:p>
      <w:pPr>
        <w:pStyle w:val="ListBullet"/>
      </w:pPr>
      <w:r>
        <w:t>INEI, nota de prensa: el 62,7% de los hogares tuvo conexión a Internet en el I trimestre de 2026 — https://www.gob.pe/institucion/inei/noticias/1412359-el-62-7-de-los-hogares-del-pais-tuvo-conexion-a-internet-entre-los-meses-de-enero-y-marzo-de-2026</w:t>
      </w:r>
    </w:p>
    <w:p>
      <w:pPr>
        <w:pStyle w:val="ListBullet"/>
      </w:pPr>
      <w:r>
        <w:t>X-Road (NIIS) — https://x-road.global/</w:t>
      </w:r>
    </w:p>
    <w:p>
      <w:r>
        <w:t>Fuente: Agenda Legislativa Tech Perú 2026–2031 (https://unimauro.github.io/agenda-legislativa-tech/p/GOB-01.html),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fortalece la interoperabilidad obligatoria y garantiza el principio de "solo una vez" en la Administración Pública, modificando el Decreto Legislativo 1246</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