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LA CASILLA ÚNICA ELECTRÓNICA NACIONAL Y EL EXPEDIENTE ELECTRÓNICO UNIVERSAL EN LA ADMINISTRACIÓN PÚBLICA, MODIFICANDO LA LEY 31736 Y LA LEY 31170</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LA CASILLA ÚNICA ELECTRÓNICA NACIONAL Y EL EXPEDIENTE ELECTRÓNICO UNIVERSAL EN LA ADMINISTRACIÓN PÚBLICA, MODIFICANDO LA LEY 31736 Y LA LEY 31170</w:t>
      </w:r>
    </w:p>
    <w:p>
      <w:pPr>
        <w:jc w:val="both"/>
      </w:pPr>
      <w:r>
        <w:rPr>
          <w:b/>
        </w:rPr>
        <w:t>Artículo 1. Objeto</w:t>
        <w:br/>
      </w:r>
      <w:r>
        <w:t>La presente ley tiene por objeto establecer la casilla única electrónica nacional como domicilio digital para las notificaciones de todas las entidades de la Administración Pública y disponer la implementación obligatoria y progresiva del expediente electrónico.</w:t>
      </w:r>
    </w:p>
    <w:p>
      <w:pPr>
        <w:jc w:val="both"/>
      </w:pPr>
      <w:r>
        <w:rPr>
          <w:b/>
        </w:rPr>
        <w:t>Artículo 2. Casilla única electrónica nacional</w:t>
        <w:br/>
      </w:r>
      <w:r>
        <w:t>2.1 La casilla única electrónica, administrada por la Presidencia del Consejo de Ministros a través de la Secretaría de Gobierno y Transformación Digital, es el domicilio digital único del administrado frente a todas las entidades sujetas al TUO de la Ley 27444.</w:t>
        <w:br/>
        <w:t>2.2 Las entidades que cuenten con casillas institucionales propias las integran o interoperan con la casilla única, de modo que el administrado pueda consultar todas sus notificaciones desde un solo punto de acceso.</w:t>
      </w:r>
    </w:p>
    <w:p>
      <w:pPr>
        <w:jc w:val="both"/>
      </w:pPr>
      <w:r>
        <w:rPr>
          <w:b/>
        </w:rPr>
        <w:t>Artículo 3. Obligatoriedad y voluntariedad</w:t>
        <w:br/>
      </w:r>
      <w:r>
        <w:t>3.1 La casilla única es obligatoria para las personas jurídicas inscritas en el Registro Único de Contribuyentes y para las entidades públicas en sus relaciones entre sí.</w:t>
        <w:br/>
        <w:t>3.2 Para las personas naturales su uso es voluntario y requiere consentimiento expreso, otorgado y revocable a través de la Carpeta Ciudadana, conforme a la Ley 31736.</w:t>
      </w:r>
    </w:p>
    <w:p>
      <w:pPr>
        <w:jc w:val="both"/>
      </w:pPr>
      <w:r>
        <w:rPr>
          <w:b/>
        </w:rPr>
        <w:t>Artículo 4. Garantías de la notificación</w:t>
        <w:br/>
      </w:r>
      <w:r>
        <w:t>4.1 La notificación en la casilla única se rige por los artículos 4 y 5 de la Ley 31736; el mensaje de alerta al correo electrónico registrado constituye requisito de validez y se complementa con un aviso al teléfono celular.</w:t>
        <w:br/>
        <w:t>4.2 La casilla única permite al administrado consultar, en un solo panel, todas sus notificaciones con su fecha de depósito, fecha de lectura y plazos en curso, y descargar constancias con valor probatorio.</w:t>
      </w:r>
    </w:p>
    <w:p>
      <w:pPr>
        <w:jc w:val="both"/>
      </w:pPr>
      <w:r>
        <w:rPr>
          <w:b/>
        </w:rPr>
        <w:t>Artículo 5. Expediente electrónico universal</w:t>
        <w:br/>
      </w:r>
      <w:r>
        <w:t>5.1 Todo procedimiento administrativo iniciado tras los plazos de la Primera Disposición Complementaria Transitoria se tramita íntegramente mediante expediente electrónico, conforme a los estándares aprobados por la Secretaría de Gobierno y Transformación Digital y por el Archivo General de la Nación.</w:t>
        <w:br/>
        <w:t>5.2 Los documentos presentados en soporte papel son digitalizados por la entidad en la mesa de partes, sin costo para el administrado.</w:t>
      </w:r>
    </w:p>
    <w:p>
      <w:pPr>
        <w:jc w:val="both"/>
      </w:pPr>
      <w:r>
        <w:rPr>
          <w:b/>
        </w:rPr>
        <w:t>Artículo 6. Canal asistido</w:t>
        <w:br/>
      </w:r>
      <w:r>
        <w:t>Las entidades mantienen al menos un canal presencial o telefónico asistido para las personas que no cuenten con acceso o competencias digitales. La digitalización no puede generar costos ni requisitos adicionales para el administrado.</w:t>
      </w:r>
    </w:p>
    <w:p>
      <w:pPr>
        <w:jc w:val="both"/>
      </w:pPr>
      <w:r>
        <w:rPr>
          <w:b/>
        </w:rPr>
        <w:t>Artículo 7. Modificación del numeral 4.2 del artículo 4 de la Ley 31736</w:t>
        <w:br/>
      </w:r>
      <w:r>
        <w:t>Modifícase el numeral 4.2 del artículo 4 de la Ley 31736, con el texto siguiente: "4.2. La casilla electrónica del administrado es asignada a través de la casilla única electrónica nacional administrada por la Presidencia del Consejo de Ministros, y es común para todas las entidades públicas. A partir de ese momento, el administrado puede acceder a dicha casilla, la que constituye un domicilio digital obligatorio, a través del cual las entidades de la administración pública realizan las notificaciones a las que hubiere lugar, respetando todos los principios, derechos y garantías del debido procedimiento previstos en la ley."</w:t>
      </w:r>
    </w:p>
    <w:p>
      <w:pPr>
        <w:jc w:val="both"/>
      </w:pPr>
      <w:r>
        <w:rPr>
          <w:b/>
        </w:rPr>
        <w:t>Artículo 8. Interoperabilidad con el sistema de justicia</w:t>
        <w:br/>
      </w:r>
      <w:r>
        <w:t>El Poder Judicial, el Tribunal Constitucional, el Ministerio Público y los organismos constitucionalmente autónomos pueden adherirse a la casilla única electrónica mediante convenio, sin perjuicio de sus sistemas propios de notificación.</w:t>
      </w:r>
    </w:p>
    <w:p>
      <w:pPr>
        <w:jc w:val="both"/>
      </w:pPr>
      <w:r>
        <w:rPr>
          <w:b/>
        </w:rPr>
        <w:t>Primera. Disposición Complementaria Final</w:t>
        <w:br/>
      </w:r>
      <w:r>
        <w:t>El Poder Ejecutivo reglamenta la presente ley en un plazo máximo de noventa (90) días hábiles, mediante decreto supremo refrendado por la Presidencia del Consejo de Ministros.</w:t>
      </w:r>
    </w:p>
    <w:p>
      <w:pPr>
        <w:jc w:val="both"/>
      </w:pPr>
      <w:r>
        <w:rPr>
          <w:b/>
        </w:rPr>
        <w:t>Segunda. Disposición Complementaria Final</w:t>
        <w:br/>
      </w:r>
      <w:r>
        <w:t>La implementación se financia con cargo al presupuesto institucional de los pliegos involucrados, sin demandar recursos adicionales al Tesoro Público.</w:t>
      </w:r>
    </w:p>
    <w:p>
      <w:pPr>
        <w:jc w:val="both"/>
      </w:pPr>
      <w:r>
        <w:rPr>
          <w:b/>
        </w:rPr>
        <w:t>Primera. Disposición Complementaria Transitoria</w:t>
        <w:br/>
      </w:r>
      <w:r>
        <w:t>El expediente electrónico es obligatorio para las entidades del Poder Ejecutivo a los dieciocho (18) meses; para los gobiernos regionales y municipalidades provinciales, a los treinta (30) meses; y para las municipalidades distritales, a los cuarenta y ocho (48) meses, contados desde la vigencia del reglamento.</w:t>
      </w:r>
    </w:p>
    <w:p>
      <w:pPr>
        <w:jc w:val="both"/>
      </w:pPr>
      <w:r>
        <w:rPr>
          <w:b/>
        </w:rPr>
        <w:t>Segunda. Disposición Complementaria Transitoria</w:t>
        <w:br/>
      </w:r>
      <w:r>
        <w:t>Las casillas institucionales existentes mantienen su validez hasta su integración con la casilla única nacional, la cual debe concluir en un plazo de veinticuatro (24) meses.</w:t>
      </w:r>
    </w:p>
    <w:p>
      <w:r>
        <w:t>Lima, ___ de __________ de 20__</w:t>
      </w:r>
    </w:p>
    <w:p>
      <w:r>
        <w:br w:type="page"/>
      </w:r>
    </w:p>
    <w:p>
      <w:pPr>
        <w:pStyle w:val="Heading1"/>
      </w:pPr>
      <w:r>
        <w:t>EXPOSICIÓN DE MOTIVOS</w:t>
      </w:r>
    </w:p>
    <w:p>
      <w:pPr>
        <w:pStyle w:val="Heading2"/>
      </w:pPr>
      <w:r>
        <w:t>I. Fundamentos y problema</w:t>
      </w:r>
    </w:p>
    <w:p>
      <w:pPr>
        <w:jc w:val="both"/>
      </w:pPr>
      <w:r>
        <w:t>La Ley 31170 (2021) dispuso la implementación de mesas de partes digitales y notificaciones electrónicas, y la Ley 31736 (2023) reguló la notificación por casilla electrónica, que tiene la misma validez que la notificación física. El Reglamento de la Ley de Gobierno Digital (DS 029-2021-PCM) ya prevé una casilla única electrónica, la Mesa Digital Perú, la Carpeta Ciudadana y el expediente electrónico. El problema es de fragmentación y de exigibilidad: la Ley 31736 permite que cada entidad asigne su propia casilla, de modo que una empresa o un ciudadano puede tener que revisar decenas de buzones distintos (tributario, municipal, registral, sectoriales), con riesgo de perder plazos. Al mismo tiempo, el expediente electrónico no tiene un cronograma legal de implementación obligatoria para gobiernos regionales y locales, lo que mantiene procedimientos híbridos en papel y escaneo. La brecha de conectividad (25,0% de hogares rurales con Internet en el primer trimestre de 2026, según el INEI) obliga a que la casilla sea voluntaria para personas naturales y a que se mantengan canales asistidos. España (Ley 39/2015 y RD 203/2021) y Chile (Ley 21.180) muestran que el expediente electrónico universal requiere un mandato legal con plazos escalonados.</w:t>
      </w:r>
    </w:p>
    <w:p>
      <w:pPr>
        <w:pStyle w:val="Heading2"/>
      </w:pPr>
      <w:r>
        <w:t>II. Objeto</w:t>
      </w:r>
    </w:p>
    <w:p>
      <w:pPr>
        <w:jc w:val="both"/>
      </w:pPr>
      <w:r>
        <w:t>Unificar las notificaciones administrativas electrónicas en una casilla única nacional y establecer la obligatoriedad progresiva del expediente electrónico en todas las entidades públicas.</w:t>
      </w:r>
    </w:p>
    <w:p>
      <w:pPr>
        <w:pStyle w:val="Heading2"/>
      </w:pPr>
      <w:r>
        <w:t>III. Análisis costo-beneficio</w:t>
      </w:r>
    </w:p>
    <w:p>
      <w:pPr>
        <w:jc w:val="both"/>
      </w:pPr>
      <w:r>
        <w:t>El costo recae en la integración de las casillas institucionales y en la digitalización de mesas de partes municipales, que es el componente más exigente para municipalidades con baja capacidad; por eso los plazos son escalonados y se mantiene el canal asistido. No requiere crear nuevas entidades porque la casilla única y la Mesa Digital Perú ya existen en el marco reglamentario vigente. Beneficios: certeza jurídica en las notificaciones, reducción de costos de mensajería y papel para el Estado, y menor riesgo de indefensión para empresas que hoy deben revisar múltiples buzones. El ahorro no se ha cuantificado oficialmente; el reglamento debe medir el porcentaje de notificaciones físicas sustituidas. Costo fiscal estimado: bajo.</w:t>
      </w:r>
    </w:p>
    <w:p>
      <w:pPr>
        <w:pStyle w:val="Heading2"/>
      </w:pPr>
      <w:r>
        <w:t>IV. Efecto de la vigencia de la norma sobre la legislación nacional</w:t>
      </w:r>
    </w:p>
    <w:p>
      <w:pPr>
        <w:jc w:val="both"/>
      </w:pPr>
      <w:r>
        <w:t>Modifica la Ley 31736 (numeral 4.2 del artículo 4) y complementa la Ley 31170, el TUO de la Ley 27444 y el Decreto Legislativo 1412. Eleva a rango legal la casilla única electrónica y el expediente electrónico ya previstos en el DS 029-2021-PCM.</w:t>
      </w:r>
    </w:p>
    <w:p>
      <w:pPr>
        <w:pStyle w:val="Heading2"/>
      </w:pPr>
      <w:r>
        <w:t>V. Antecedentes</w:t>
      </w:r>
    </w:p>
    <w:p>
      <w:pPr>
        <w:jc w:val="both"/>
      </w:pPr>
      <w:r>
        <w:t>Por verificar en SPLEY. Antecedentes normativos directos: Ley 31170 (2021) y Ley 31736 (2023).</w:t>
      </w:r>
    </w:p>
    <w:p>
      <w:pPr>
        <w:pStyle w:val="Heading2"/>
      </w:pPr>
      <w:r>
        <w:t>VI. Indicador de éxito</w:t>
      </w:r>
    </w:p>
    <w:p>
      <w:pPr>
        <w:jc w:val="both"/>
      </w:pPr>
      <w:r>
        <w:t>A 2031, el 100% de las entidades del Poder Ejecutivo y de los gobiernos regionales tramitan sus procedimientos con expediente electrónico y todas las personas jurídicas con RUC activo reciben sus notificaciones en la casilla única nacional.</w:t>
      </w:r>
    </w:p>
    <w:p>
      <w:pPr>
        <w:pStyle w:val="Heading2"/>
      </w:pPr>
      <w:r>
        <w:t>VII. Vinculación con la Agenda Legislativa y el Plan Perú 2050</w:t>
      </w:r>
    </w:p>
    <w:p>
      <w:r>
        <w:t>Comisiones temáticas del Plan Perú 2050: Transformación Digital, Reforma Del Estado. ODS: 16, 9.</w:t>
      </w:r>
    </w:p>
    <w:p>
      <w:pPr>
        <w:pStyle w:val="Heading2"/>
      </w:pPr>
      <w:r>
        <w:t>VIII. Referencias</w:t>
      </w:r>
    </w:p>
    <w:p>
      <w:pPr>
        <w:pStyle w:val="ListBullet"/>
      </w:pPr>
      <w:r>
        <w:t>Ley 31736, Ley que regula la notificación administrativa mediante casilla electrónica — https://leyes.congreso.gob.pe/Documentos/2021_2026/ADLP/Texto_Consolidado/31736-TXM.pdf</w:t>
      </w:r>
    </w:p>
    <w:p>
      <w:pPr>
        <w:pStyle w:val="ListBullet"/>
      </w:pPr>
      <w:r>
        <w:t>Ley 31170, Ley que dispone la implementación de mesas de partes digitales y notificaciones electrónicas — https://leyes.congreso.gob.pe/Documentos/2016_2021/ADLP/Texto_Consolidado/31170-TXM.pdf</w:t>
      </w:r>
    </w:p>
    <w:p>
      <w:pPr>
        <w:pStyle w:val="ListBullet"/>
      </w:pPr>
      <w:r>
        <w:t>Ley 27444, Ley del Procedimiento Administrativo General (TUO aprobado por DS 004-2019-JUS) — https://www.leyes.congreso.gob.pe/Documentos/Leyes/27444.pdf</w:t>
      </w:r>
    </w:p>
    <w:p>
      <w:pPr>
        <w:pStyle w:val="ListBullet"/>
      </w:pPr>
      <w:r>
        <w:t>Decreto Legislativo 1412, Decreto Legislativo que aprueba la Ley de Gobierno Digital — https://www.gob.pe/institucion/pcm/normas-legales/289706-1412</w:t>
      </w:r>
    </w:p>
    <w:p>
      <w:pPr>
        <w:pStyle w:val="ListBullet"/>
      </w:pPr>
      <w:r>
        <w:t>Decreto Supremo 029-2021-PCM, Reglamento del Decreto Legislativo 1412 (modificado, entre otros, por los DS 075-2023-PCM y 098-2025-PCM) — https://www.gob.pe/institucion/pcm/normas-legales/1705101-029-2021-pcm</w:t>
      </w:r>
    </w:p>
    <w:p>
      <w:pPr>
        <w:pStyle w:val="ListBullet"/>
      </w:pPr>
      <w:r>
        <w:t>España: Ley 39/2015, del Procedimiento Administrativo Común (art. 28: derecho a no aportar documentos que obren en poder de la Administración) — https://www.boe.es/buscar/act.php?id=BOE-A-2015-10565</w:t>
      </w:r>
    </w:p>
    <w:p>
      <w:pPr>
        <w:pStyle w:val="ListBullet"/>
      </w:pPr>
      <w:r>
        <w:t>España: Real Decreto 203/2021, Reglamento de actuación y funcionamiento del sector público por medios electrónicos — https://www.boe.es/buscar/act.php?id=BOE-A-2021-5032</w:t>
      </w:r>
    </w:p>
    <w:p>
      <w:pPr>
        <w:pStyle w:val="ListBullet"/>
      </w:pPr>
      <w:r>
        <w:t>Chile: Ley 21.180, de Transformación Digital del Estado — https://www.bcn.cl/leychile/navegar?idNorma=1138479</w:t>
      </w:r>
    </w:p>
    <w:p>
      <w:pPr>
        <w:pStyle w:val="ListBullet"/>
      </w:pPr>
      <w:r>
        <w:t>Estonia: Portal estatal eesti.ee (punto único de servicios y comunicaciones) — https://www.eesti.ee/en</w:t>
      </w:r>
    </w:p>
    <w:p>
      <w:pPr>
        <w:pStyle w:val="ListBullet"/>
      </w:pPr>
      <w:r>
        <w:t>Plataforma digital Carpeta Ciudadana (GOB.PE) — https://www.gob.pe/carpetaciudadana</w:t>
      </w:r>
    </w:p>
    <w:p>
      <w:pPr>
        <w:pStyle w:val="ListBullet"/>
      </w:pPr>
      <w:r>
        <w:t>PCM, Secretaría de Gobierno y Transformación Digital (portal) — https://www.gob.pe/gobiernodigital</w:t>
      </w:r>
    </w:p>
    <w:p>
      <w:pPr>
        <w:pStyle w:val="ListBullet"/>
      </w:pPr>
      <w:r>
        <w:t>INEI, nota de prensa: el 62,7% de los hogares tuvo conexión a Internet en el I trimestre de 2026 — https://www.gob.pe/institucion/inei/noticias/1412359-el-62-7-de-los-hogares-del-pais-tuvo-conexion-a-internet-entre-los-meses-de-enero-y-marzo-de-2026</w:t>
      </w:r>
    </w:p>
    <w:p>
      <w:r>
        <w:t>Fuente: Agenda Legislativa Tech Perú 2026–2031 (https://unimauro.github.io/agenda-legislativa-tech/p/GOB-02.html),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la casilla única electrónica nacional y el expediente electrónico universal en la Administración Pública, modificando la Ley 31736 y la Ley 31170</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