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PROYECTO DE LEY N.° ____/2026-CR</w:t>
      </w:r>
    </w:p>
    <w:p>
      <w:pPr>
        <w:pStyle w:val="Heading1"/>
      </w:pPr>
      <w:r>
        <w:t>LEY QUE CREA EL PROGRAMA DE MUNICIPALIDADES DIGITALES Y LOS SERVICIOS DIGITALES COMPARTIDOS PARA EL CIERRE DE LA BRECHA DIGITAL SUBNACIONAL</w:t>
      </w:r>
    </w:p>
    <w:p>
      <w:r>
        <w:t>El/la congresista que suscribe, ______________________, en ejercicio del derecho de iniciativa legislativa que le confiere el artículo 107 de la Constitución Política del Perú, presenta la siguiente propuesta legislativa:</w:t>
      </w:r>
    </w:p>
    <w:p>
      <w:pPr>
        <w:jc w:val="center"/>
      </w:pPr>
      <w:r>
        <w:rPr>
          <w:b/>
        </w:rPr>
        <w:t>FÓRMULA LEGAL</w:t>
        <w:br/>
      </w:r>
      <w:r>
        <w:t>EL CONGRESO DE LA REPÚBLICA</w:t>
        <w:br/>
        <w:t>Ha dado la Ley siguiente:</w:t>
        <w:br/>
      </w:r>
      <w:r>
        <w:rPr>
          <w:b/>
        </w:rPr>
        <w:t>LEY QUE CREA EL PROGRAMA DE MUNICIPALIDADES DIGITALES Y LOS SERVICIOS DIGITALES COMPARTIDOS PARA EL CIERRE DE LA BRECHA DIGITAL SUBNACIONAL</w:t>
      </w:r>
    </w:p>
    <w:p>
      <w:pPr>
        <w:jc w:val="both"/>
      </w:pPr>
      <w:r>
        <w:rPr>
          <w:b/>
        </w:rPr>
        <w:t>Artículo 1. Objeto</w:t>
        <w:br/>
      </w:r>
      <w:r>
        <w:t>La presente ley tiene por objeto crear el Programa de Municipalidades Digitales, a cargo de la Presidencia del Consejo de Ministros, para reducir la brecha de transformación digital de los gobiernos regionales y locales mediante servicios digitales compartidos, asistencia técnica y medición pública de resultados.</w:t>
      </w:r>
    </w:p>
    <w:p>
      <w:pPr>
        <w:jc w:val="both"/>
      </w:pPr>
      <w:r>
        <w:rPr>
          <w:b/>
        </w:rPr>
        <w:t>Artículo 2. Servicios digitales compartidos</w:t>
        <w:br/>
      </w:r>
      <w:r>
        <w:t>2.1 La Secretaría de Gobierno y Transformación Digital aprueba y mantiene un Catálogo de Servicios Digitales Compartidos, que comprende como mínimo: mesa de partes y trámite documentario electrónico, casilla electrónica, pagos en línea, licencias de funcionamiento y edificación, portal institucional en GOB.PE y alojamiento en la nube.</w:t>
        <w:br/>
        <w:t>2.2 Los servicios del Catálogo se proveen sin costo de licencia a los gobiernos regionales y locales, bajo modalidad de servicio, y se basan preferentemente en software público peruano.</w:t>
      </w:r>
    </w:p>
    <w:p>
      <w:pPr>
        <w:jc w:val="both"/>
      </w:pPr>
      <w:r>
        <w:rPr>
          <w:b/>
        </w:rPr>
        <w:t>Artículo 3. Adhesión</w:t>
        <w:br/>
      </w:r>
      <w:r>
        <w:t>3.1 Las municipalidades distritales con población menor al umbral que fije el reglamento utilizan preferentemente los servicios del Catálogo y solo pueden contratar soluciones equivalentes cuando acrediten, mediante informe técnico, mejores condiciones de costo y funcionalidad.</w:t>
        <w:br/>
        <w:t>3.2 Las demás municipalidades y gobiernos regionales pueden adherirse voluntariamente.</w:t>
      </w:r>
    </w:p>
    <w:p>
      <w:pPr>
        <w:jc w:val="both"/>
      </w:pPr>
      <w:r>
        <w:rPr>
          <w:b/>
        </w:rPr>
        <w:t>Artículo 4. Índice de Madurez Digital Subnacional</w:t>
        <w:br/>
      </w:r>
      <w:r>
        <w:t>La Secretaría de Gobierno y Transformación Digital, en coordinación con el Instituto Nacional de Estadística e Informática, elabora y publica anualmente, en formato abierto, el Índice de Madurez Digital Subnacional por gobierno regional y municipalidad, que mide servicios digitales disponibles, interoperabilidad, capacidades del personal y satisfacción ciudadana.</w:t>
      </w:r>
    </w:p>
    <w:p>
      <w:pPr>
        <w:jc w:val="both"/>
      </w:pPr>
      <w:r>
        <w:rPr>
          <w:b/>
        </w:rPr>
        <w:t>Artículo 5. Asistencia técnica territorial</w:t>
        <w:br/>
      </w:r>
      <w:r>
        <w:t>La Presidencia del Consejo de Ministros conforma equipos de asistencia técnica por macrorregión, en coordinación con los gobiernos regionales, para la implementación de los servicios compartidos, priorizando a las municipalidades con menor puntaje en el Índice.</w:t>
      </w:r>
    </w:p>
    <w:p>
      <w:pPr>
        <w:jc w:val="both"/>
      </w:pPr>
      <w:r>
        <w:rPr>
          <w:b/>
        </w:rPr>
        <w:t>Artículo 6. Financiamiento con recursos determinados</w:t>
        <w:br/>
      </w:r>
      <w:r>
        <w:t>Precísase que las inversiones en transformación digital de los gobiernos regionales y locales, incluida la adopción de los servicios digitales compartidos, la digitalización de archivos y el equipamiento asociado, pueden financiarse con recursos del Fondo de Compensación Municipal y del canon, siempre que se formulen como inversiones conforme al Sistema Nacional de Programación Multianual y Gestión de Inversiones y a la normativa de cada fuente.</w:t>
      </w:r>
    </w:p>
    <w:p>
      <w:pPr>
        <w:jc w:val="both"/>
      </w:pPr>
      <w:r>
        <w:rPr>
          <w:b/>
        </w:rPr>
        <w:t>Artículo 7. Incentivos</w:t>
        <w:br/>
      </w:r>
      <w:r>
        <w:t>El Ministerio de Economía y Finanzas puede incorporar metas de transformación digital vinculadas al Índice de Madurez Digital Subnacional en los programas de incentivos a la mejora de la gestión municipal, conforme a la normativa presupuestal.</w:t>
      </w:r>
    </w:p>
    <w:p>
      <w:pPr>
        <w:jc w:val="both"/>
      </w:pPr>
      <w:r>
        <w:rPr>
          <w:b/>
        </w:rPr>
        <w:t>Artículo 8. Interoperabilidad obligatoria de los servicios</w:t>
        <w:br/>
      </w:r>
      <w:r>
        <w:t>Los servicios digitales compartidos interoperan con la Plataforma de Interoperabilidad del Estado y con los sistemas nacionales de identidad, registros y pagos, de modo que el ciudadano realice trámites municipales sin presentar información que el Estado ya posee.</w:t>
      </w:r>
    </w:p>
    <w:p>
      <w:pPr>
        <w:jc w:val="both"/>
      </w:pPr>
      <w:r>
        <w:rPr>
          <w:b/>
        </w:rPr>
        <w:t>Primera. Disposición Complementaria Final</w:t>
        <w:br/>
      </w:r>
      <w:r>
        <w:t>El Poder Ejecutivo reglamenta la presente ley en un plazo de noventa (90) días hábiles, con refrendo de la Presidencia del Consejo de Ministros y del Ministerio de Economía y Finanzas.</w:t>
      </w:r>
    </w:p>
    <w:p>
      <w:pPr>
        <w:jc w:val="both"/>
      </w:pPr>
      <w:r>
        <w:rPr>
          <w:b/>
        </w:rPr>
        <w:t>Segunda. Disposición Complementaria Final</w:t>
        <w:br/>
      </w:r>
      <w:r>
        <w:t>La implementación del Programa se financia con cargo al presupuesto institucional de la Presidencia del Consejo de Ministros y de los gobiernos regionales y locales, sin demandar recursos adicionales al Tesoro Público.</w:t>
      </w:r>
    </w:p>
    <w:p>
      <w:pPr>
        <w:jc w:val="both"/>
      </w:pPr>
      <w:r>
        <w:rPr>
          <w:b/>
        </w:rPr>
        <w:t>Tercera. Disposición Complementaria Final</w:t>
        <w:br/>
      </w:r>
      <w:r>
        <w:t>La primera edición del Índice de Madurez Digital Subnacional se publica dentro de los doce (12) meses siguientes a la vigencia del reglamento y sirve como línea de base.</w:t>
      </w:r>
    </w:p>
    <w:p>
      <w:r>
        <w:t>Lima, ___ de __________ de 20__</w:t>
      </w:r>
    </w:p>
    <w:p>
      <w:r>
        <w:br w:type="page"/>
      </w:r>
    </w:p>
    <w:p>
      <w:pPr>
        <w:pStyle w:val="Heading1"/>
      </w:pPr>
      <w:r>
        <w:t>EXPOSICIÓN DE MOTIVOS</w:t>
      </w:r>
    </w:p>
    <w:p>
      <w:pPr>
        <w:pStyle w:val="Heading2"/>
      </w:pPr>
      <w:r>
        <w:t>I. Fundamentos y problema</w:t>
      </w:r>
    </w:p>
    <w:p>
      <w:pPr>
        <w:jc w:val="both"/>
      </w:pPr>
      <w:r>
        <w:t>Las municipalidades son el nivel de gobierno más cercano al ciudadano (licencias, arbitrios, registro civil, catastro, programas sociales), pero también el de menor capacidad digital. El país tiene más de 1 800 municipalidades, muchas de ellas rurales con escaso personal técnico, presupuestos limitados y conectividad precaria: según el INEI, en el primer trimestre de 2026 solo el 25,0% de los hogares rurales tenía acceso a Internet, frente al 82,7% en Lima Metropolitana. El modelo actual exige que cada municipalidad compre o desarrolle por su cuenta sistemas de trámite documentario, mesa de partes digital, licencias o recaudación, lo que multiplica costos y genera soluciones que no interoperan. El DS 029-2021-PCM ya ofrece plataformas nacionales (GOB.PE, Mesa Digital Perú, PÁGALO.PE, Nube Perú, software público), pero no existe una obligación de proveerlas como servicio compartido llave en mano a los gobiernos subnacionales, ni un instrumento de medición pública de su madurez digital, ni claridad sobre el uso de recursos determinados (FONCOMUN, canon) para estos fines. España (Ley 40/2015, transferencia de tecnología entre administraciones) y Chile (Ley 21.180, aplicable a municipalidades) muestran la ventaja de soluciones compartidas sobre desarrollos aislados.</w:t>
      </w:r>
    </w:p>
    <w:p>
      <w:pPr>
        <w:pStyle w:val="Heading2"/>
      </w:pPr>
      <w:r>
        <w:t>II. Objeto</w:t>
      </w:r>
    </w:p>
    <w:p>
      <w:pPr>
        <w:jc w:val="both"/>
      </w:pPr>
      <w:r>
        <w:t>Cerrar la brecha digital entre niveles de gobierno mediante servicios digitales compartidos, medición de madurez digital y reglas claras de financiamiento.</w:t>
      </w:r>
    </w:p>
    <w:p>
      <w:pPr>
        <w:pStyle w:val="Heading2"/>
      </w:pPr>
      <w:r>
        <w:t>III. Análisis costo-beneficio</w:t>
      </w:r>
    </w:p>
    <w:p>
      <w:pPr>
        <w:jc w:val="both"/>
      </w:pPr>
      <w:r>
        <w:t>Genera costos para la PCM (operación y soporte de los servicios compartidos y equipos de asistencia técnica), que se cubren con su presupuesto institucional y pueden requerir priorización presupuestal en leyes anuales. Para las municipalidades, el efecto neto esperado es de ahorro, al sustituir compras individuales de sistemas por servicios sin costo de licencia. Beneficios: economías de escala, estándares comunes e interoperables, menor dependencia de proveedores locales, trámites municipales en línea en zonas hoy no atendidas y medición pública que orienta la asignación de recursos. La precisión sobre FONCOMUN y canon no crea gasto nuevo: aclara el uso de recursos ya transferidos. Costo fiscal estimado: medio.</w:t>
      </w:r>
    </w:p>
    <w:p>
      <w:pPr>
        <w:pStyle w:val="Heading2"/>
      </w:pPr>
      <w:r>
        <w:t>IV. Efecto de la vigencia de la norma sobre la legislación nacional</w:t>
      </w:r>
    </w:p>
    <w:p>
      <w:pPr>
        <w:jc w:val="both"/>
      </w:pPr>
      <w:r>
        <w:t>Complementa el Decreto Legislativo 1412, la Ley 27972, la Ley 27783, la Ley de Canon (Ley 27506) y el régimen del Fondo de Compensación Municipal (Decreto Legislativo 776), precisando el uso de recursos determinados para inversiones en transformación digital.</w:t>
      </w:r>
    </w:p>
    <w:p>
      <w:pPr>
        <w:pStyle w:val="Heading2"/>
      </w:pPr>
      <w:r>
        <w:t>V. Antecedentes</w:t>
      </w:r>
    </w:p>
    <w:p>
      <w:pPr>
        <w:jc w:val="both"/>
      </w:pPr>
      <w:r>
        <w:t>Por verificar en SPLEY.</w:t>
      </w:r>
    </w:p>
    <w:p>
      <w:pPr>
        <w:pStyle w:val="Heading2"/>
      </w:pPr>
      <w:r>
        <w:t>VI. Indicador de éxito</w:t>
      </w:r>
    </w:p>
    <w:p>
      <w:pPr>
        <w:jc w:val="both"/>
      </w:pPr>
      <w:r>
        <w:t>A 2031, al menos el 70% de las municipalidades distritales usan como mínimo tres servicios del Catálogo de Servicios Digitales Compartidos y el puntaje mediano del Índice de Madurez Digital Subnacional mejora respecto de la línea de base.</w:t>
      </w:r>
    </w:p>
    <w:p>
      <w:pPr>
        <w:pStyle w:val="Heading2"/>
      </w:pPr>
      <w:r>
        <w:t>VII. Vinculación con la Agenda Legislativa y el Plan Perú 2050</w:t>
      </w:r>
    </w:p>
    <w:p>
      <w:r>
        <w:t>Comisiones temáticas del Plan Perú 2050: Transformación Digital, Reforma Del Estado, Desarrollo Rural. ODS: 10, 11, 16.</w:t>
      </w:r>
    </w:p>
    <w:p>
      <w:pPr>
        <w:pStyle w:val="Heading2"/>
      </w:pPr>
      <w:r>
        <w:t>VIII. Referencias</w:t>
      </w:r>
    </w:p>
    <w:p>
      <w:pPr>
        <w:pStyle w:val="ListBullet"/>
      </w:pPr>
      <w:r>
        <w:t>Decreto Legislativo 1412, Decreto Legislativo que aprueba la Ley de Gobierno Digital — https://www.gob.pe/institucion/pcm/normas-legales/289706-1412</w:t>
      </w:r>
    </w:p>
    <w:p>
      <w:pPr>
        <w:pStyle w:val="ListBullet"/>
      </w:pPr>
      <w:r>
        <w:t>Decreto Supremo 029-2021-PCM, Reglamento del Decreto Legislativo 1412 (modificado, entre otros, por los DS 075-2023-PCM y 098-2025-PCM) — https://www.gob.pe/institucion/pcm/normas-legales/1705101-029-2021-pcm</w:t>
      </w:r>
    </w:p>
    <w:p>
      <w:pPr>
        <w:pStyle w:val="ListBullet"/>
      </w:pPr>
      <w:r>
        <w:t>Ley 27972, Ley Orgánica de Municipalidades — https://www.leyes.congreso.gob.pe/Documentos/Leyes/27972.pdf</w:t>
      </w:r>
    </w:p>
    <w:p>
      <w:pPr>
        <w:pStyle w:val="ListBullet"/>
      </w:pPr>
      <w:r>
        <w:t>Ley 27783, Ley de Bases de la Descentralización — https://www.leyes.congreso.gob.pe/Documentos/Leyes/27783.pdf</w:t>
      </w:r>
    </w:p>
    <w:p>
      <w:pPr>
        <w:pStyle w:val="ListBullet"/>
      </w:pPr>
      <w:r>
        <w:t>Ley 27506, Ley de Canon — https://www.leyes.congreso.gob.pe/Documentos/Leyes/27506.pdf</w:t>
      </w:r>
    </w:p>
    <w:p>
      <w:pPr>
        <w:pStyle w:val="ListBullet"/>
      </w:pPr>
      <w:r>
        <w:t>Decreto Legislativo 776, Ley de Tributación Municipal (Fondo de Compensación Municipal) — https://www.leyes.congreso.gob.pe/Documentos/DecretosLegislativos/00776.pdf</w:t>
      </w:r>
    </w:p>
    <w:p>
      <w:pPr>
        <w:pStyle w:val="ListBullet"/>
      </w:pPr>
      <w:r>
        <w:t>España: Ley 40/2015, de Régimen Jurídico del Sector Público (arts. 155-158: interoperabilidad, reutilización de sistemas y transferencia de tecnología) — https://www.boe.es/buscar/act.php?id=BOE-A-2015-10566</w:t>
      </w:r>
    </w:p>
    <w:p>
      <w:pPr>
        <w:pStyle w:val="ListBullet"/>
      </w:pPr>
      <w:r>
        <w:t>Chile: Ley 21.180, de Transformación Digital del Estado — https://www.bcn.cl/leychile/navegar?idNorma=1138479</w:t>
      </w:r>
    </w:p>
    <w:p>
      <w:pPr>
        <w:pStyle w:val="ListBullet"/>
      </w:pPr>
      <w:r>
        <w:t>Brasil: Lei 14.129/2021, Lei do Governo Digital — https://www.planalto.gov.br/ccivil_03/_ato2019-2022/2021/lei/l14129.htm</w:t>
      </w:r>
    </w:p>
    <w:p>
      <w:pPr>
        <w:pStyle w:val="ListBullet"/>
      </w:pPr>
      <w:r>
        <w:t>INEI, nota de prensa: el 62,7% de los hogares tuvo conexión a Internet en el I trimestre de 2026 — https://www.gob.pe/institucion/inei/noticias/1412359-el-62-7-de-los-hogares-del-pais-tuvo-conexion-a-internet-entre-los-meses-de-enero-y-marzo-de-2026</w:t>
      </w:r>
    </w:p>
    <w:p>
      <w:pPr>
        <w:pStyle w:val="ListBullet"/>
      </w:pPr>
      <w:r>
        <w:t>PCM, Secretaría de Gobierno y Transformación Digital (portal) — https://www.gob.pe/gobiernodigital</w:t>
      </w:r>
    </w:p>
    <w:p>
      <w:pPr>
        <w:pStyle w:val="ListBullet"/>
      </w:pPr>
      <w:r>
        <w:t>Portal de Software Público Peruano — https://www.softwarepublico.gob.pe/</w:t>
      </w:r>
    </w:p>
    <w:p>
      <w:r>
        <w:t>Fuente: Agenda Legislativa Tech Perú 2026–2031 (https://unimauro.github.io/agenda-legislativa-tech/p/GOB-08.html), propuesta ciudadana CC BY 4.0.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Ley que crea el Programa de Municipalidades Digitales y los servicios digitales compartidos para el cierre de la brecha digital subnacional</dc:title>
  <dc:subject/>
  <dc:creator>Agenda Legislativa Tech Perú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