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CREA LA RED NACIONAL DE CÓMPUTO AVANZADO PARA LA INVESTIGACIÓN EN INTELIGENCIA ARTIFICIAL</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CREA LA RED NACIONAL DE CÓMPUTO AVANZADO PARA LA INVESTIGACIÓN EN INTELIGENCIA ARTIFICIAL</w:t>
      </w:r>
    </w:p>
    <w:p>
      <w:pPr>
        <w:jc w:val="both"/>
      </w:pPr>
      <w:r>
        <w:rPr>
          <w:b/>
        </w:rPr>
        <w:t>Artículo 1. Objeto</w:t>
        <w:br/>
      </w:r>
      <w:r>
        <w:t>La presente ley tiene por objeto crear la Red Nacional de Cómputo Avanzado para la Investigación en Inteligencia Artificial, en adelante la Red, como infraestructura científica compartida al servicio del Sistema Nacional de Ciencia, Tecnología e Innovación.</w:t>
      </w:r>
    </w:p>
    <w:p>
      <w:pPr>
        <w:jc w:val="both"/>
      </w:pPr>
      <w:r>
        <w:rPr>
          <w:b/>
        </w:rPr>
        <w:t>Artículo 2. Declaratoria de interés nacional</w:t>
        <w:br/>
      </w:r>
      <w:r>
        <w:t>Declárase de interés nacional el desarrollo de infraestructura de cómputo de alto rendimiento y de aceleradores para la investigación en inteligencia artificial, con prioridad en su despliegue descentralizado y en el uso de energía de fuentes renovables.</w:t>
      </w:r>
    </w:p>
    <w:p>
      <w:pPr>
        <w:jc w:val="both"/>
      </w:pPr>
      <w:r>
        <w:rPr>
          <w:b/>
        </w:rPr>
        <w:t>Artículo 3. Conformación</w:t>
        <w:br/>
      </w:r>
      <w:r>
        <w:t>3.1. La Red está conformada por los nodos de cómputo de las universidades públicas, institutos públicos de investigación y entidades del Estado que se adhieran mediante convenio, así como por universidades privadas y empresas que aporten capacidad en condiciones de acceso abierto.</w:t>
        <w:br/>
        <w:t>3.2. El Consejo Nacional de Ciencia, Tecnología e Innovación Tecnológica (CONCYTEC), como ente rector del SINACTI, articula la Red y aprueba sus normas técnicas de interoperabilidad, seguridad y acceso.</w:t>
      </w:r>
    </w:p>
    <w:p>
      <w:pPr>
        <w:jc w:val="both"/>
      </w:pPr>
      <w:r>
        <w:rPr>
          <w:b/>
        </w:rPr>
        <w:t>Artículo 4. Comité técnico de la Red</w:t>
        <w:br/>
      </w:r>
      <w:r>
        <w:t>4.1. La Red cuenta con un comité técnico integrado por un representante del CONCYTEC, que lo preside; uno de la Secretaría de Gobierno y Transformación Digital; dos de las universidades públicas que operen nodos, uno de ellos de fuera de Lima y Callao; y uno de los colegios profesionales vinculados a la ingeniería y la computación.</w:t>
        <w:br/>
        <w:t>4.2. Los integrantes ejercen el cargo ad honorem.</w:t>
      </w:r>
    </w:p>
    <w:p>
      <w:pPr>
        <w:jc w:val="both"/>
      </w:pPr>
      <w:r>
        <w:rPr>
          <w:b/>
        </w:rPr>
        <w:t>Artículo 5. Acceso abierto por mérito</w:t>
        <w:br/>
      </w:r>
      <w:r>
        <w:t>5.1. El tiempo de cómputo se asigna mediante convocatorias públicas periódicas, con evaluación por pares, a investigadores de universidades e instituciones públicas y privadas sin fines de lucro, y a empresas en proyectos colaborativos con la academia.</w:t>
        <w:br/>
        <w:t>5.2. Se reserva un porcentaje mínimo de la capacidad, establecido en el reglamento, para proyectos liderados desde regiones distintas de Lima Metropolitana y Callao, y para proyectos en lenguas originarias.</w:t>
        <w:br/>
        <w:t>5.3. Los resultados financiados con acceso a la Red se publican preferentemente en acceso abierto, salvo protección de propiedad intelectual debidamente justificada.</w:t>
      </w:r>
    </w:p>
    <w:p>
      <w:pPr>
        <w:jc w:val="both"/>
      </w:pPr>
      <w:r>
        <w:rPr>
          <w:b/>
        </w:rPr>
        <w:t>Artículo 6. Soberanía y seguridad de los datos</w:t>
        <w:br/>
      </w:r>
      <w:r>
        <w:t>Los datos de entidades públicas y los datos personales que se procesen en la Red permanecen alojados en territorio nacional o en infraestructuras que cumplan las condiciones de transferencia de la Ley 29733, y se tratan conforme a las normas de seguridad digital del Marco de Confianza Digital.</w:t>
      </w:r>
    </w:p>
    <w:p>
      <w:pPr>
        <w:jc w:val="both"/>
      </w:pPr>
      <w:r>
        <w:rPr>
          <w:b/>
        </w:rPr>
        <w:t>Artículo 7. Eficiencia energética</w:t>
        <w:br/>
      </w:r>
      <w:r>
        <w:t>Las adquisiciones de equipamiento para la Red incorporan criterios de eficiencia energética y de suministro con energía de fuentes renovables, conforme a la normativa de contrataciones públicas.</w:t>
      </w:r>
    </w:p>
    <w:p>
      <w:pPr>
        <w:jc w:val="both"/>
      </w:pPr>
      <w:r>
        <w:rPr>
          <w:b/>
        </w:rPr>
        <w:t>Artículo 8. Formación de capacidades</w:t>
        <w:br/>
      </w:r>
      <w:r>
        <w:t>Los nodos de la Red ofrecen programas de formación en computación de alto rendimiento e inteligencia artificial para docentes e investigadores, en coordinación con las universidades y el CONCYTEC.</w:t>
      </w:r>
    </w:p>
    <w:p>
      <w:pPr>
        <w:jc w:val="both"/>
      </w:pPr>
      <w:r>
        <w:rPr>
          <w:b/>
        </w:rPr>
        <w:t>Artículo 9. Financiamiento</w:t>
        <w:br/>
      </w:r>
      <w:r>
        <w:t>La Red se financia con cargo al presupuesto institucional del CONCYTEC y de las entidades que la integran, con recursos de los fondos concursables del Programa Nacional de Investigación Científica y Estudios Avanzados (PROCIENCIA), con aportes de la cooperación internacional y del sector privado, y con los recursos que el Poder Ejecutivo priorice en el marco de las leyes anuales de presupuesto, sin demandar recursos adicionales al Tesoro Público.</w:t>
      </w:r>
    </w:p>
    <w:p>
      <w:pPr>
        <w:jc w:val="both"/>
      </w:pPr>
      <w:r>
        <w:rPr>
          <w:b/>
        </w:rPr>
        <w:t>Primera. Disposición Complementaria Final</w:t>
        <w:br/>
      </w:r>
      <w:r>
        <w:t>Reglamentación. El Poder Ejecutivo, mediante decreto supremo refrendado por la Presidencia del Consejo de Ministros, reglamenta la presente ley en un plazo de ciento veinte días hábiles.</w:t>
      </w:r>
    </w:p>
    <w:p>
      <w:pPr>
        <w:jc w:val="both"/>
      </w:pPr>
      <w:r>
        <w:rPr>
          <w:b/>
        </w:rPr>
        <w:t>Segunda. Disposición Complementaria Final</w:t>
        <w:br/>
      </w:r>
      <w:r>
        <w:t>Plan de despliegue. El CONCYTEC aprueba, en un plazo de un año, el plan de despliegue de la Red con metas al 2031, identificando los nodos existentes y las brechas por macrorregión.</w:t>
      </w:r>
    </w:p>
    <w:p>
      <w:pPr>
        <w:jc w:val="both"/>
      </w:pPr>
      <w:r>
        <w:rPr>
          <w:b/>
        </w:rPr>
        <w:t>Tercera. Disposición Complementaria Final</w:t>
        <w:br/>
      </w:r>
      <w:r>
        <w:t>Vigencia. La presente ley entra en vigencia al día siguiente de su publicación.</w:t>
      </w:r>
    </w:p>
    <w:p>
      <w:r>
        <w:t>Lima, ___ de __________ de 20__</w:t>
      </w:r>
    </w:p>
    <w:p>
      <w:r>
        <w:br w:type="page"/>
      </w:r>
    </w:p>
    <w:p>
      <w:pPr>
        <w:pStyle w:val="Heading1"/>
      </w:pPr>
      <w:r>
        <w:t>EXPOSICIÓN DE MOTIVOS</w:t>
      </w:r>
    </w:p>
    <w:p>
      <w:pPr>
        <w:pStyle w:val="Heading2"/>
      </w:pPr>
      <w:r>
        <w:t>I. Fundamentos y problema</w:t>
      </w:r>
    </w:p>
    <w:p>
      <w:pPr>
        <w:jc w:val="both"/>
      </w:pPr>
      <w:r>
        <w:t>El Plan IA Perú 2050 (CIP/CNPP) califica el cómputo público para investigación con acceso universitario como «casi nulo» y fija como meta contar con un primer clúster nacional al 2030 y acceso garantizado en 25 regiones al 2040. El entrenamiento, ajuste y evaluación de modelos de IA requiere infraestructura de cómputo acelerado cuyo costo excede la capacidad individual de la mayoría de universidades, en particular las regionales, lo que concentra la investigación en pocas instituciones o la desplaza a proveedores extranjeros, con implicancias de soberanía de datos. Según el diagnóstico del mismo Plan, el Perú invierte alrededor de 0,2% del PBI en I+D (UNESCO), frente a cerca de 2% en los países de ingreso alto. La Ley 31250 del SINACTI asigna al CONCYTEC la rectoría de la ciencia, tecnología e innovación, pero no existe un mandato legal para gestionar infraestructura compartida de cómputo como bien público científico. El Reglamento de la Ley 31814 solo prevé que la SGTD habilite recursos de nube pública (art. 19). La Unión Europea (EuroHPC), España (Red Española de Supercomputación con MareNostrum 5) y Estados Unidos (piloto NAIRR) muestran que los modelos de red compartida con acceso por mérito multiplican la productividad científica.</w:t>
      </w:r>
    </w:p>
    <w:p>
      <w:pPr>
        <w:pStyle w:val="Heading2"/>
      </w:pPr>
      <w:r>
        <w:t>II. Objeto</w:t>
      </w:r>
    </w:p>
    <w:p>
      <w:pPr>
        <w:jc w:val="both"/>
      </w:pPr>
      <w:r>
        <w:t>Crear la Red Nacional de Cómputo Avanzado para la Investigación en IA, definir su gobernanza, régimen de acceso abierto por mérito y fuentes de financiamiento.</w:t>
      </w:r>
    </w:p>
    <w:p>
      <w:pPr>
        <w:pStyle w:val="Heading2"/>
      </w:pPr>
      <w:r>
        <w:t>III. Análisis costo-beneficio</w:t>
      </w:r>
    </w:p>
    <w:p>
      <w:pPr>
        <w:jc w:val="both"/>
      </w:pPr>
      <w:r>
        <w:t>Es la propuesta de mayor costo del eje: la adquisición y operación de cómputo acelerado implica inversión y gasto energético relevantes. La ley no crea una entidad nueva ni compromete montos: articula nodos existentes, ordena el acceso abierto y habilita fuentes concursables, cooperación y aportes privados; el escalamiento depende de la priorización en las leyes de presupuesto. El beneficio es evitar que cada universidad compre capacidad subutilizada, reducir la dependencia de nubes extranjeras para datos sensibles y habilitar investigación descentralizada en IA, condición para las metas del Plan IA Perú 2050. Conforme al artículo 79 de la Constitución, la iniciativa no crea gasto: este se ejecuta con presupuesto institucional y fondos concursables.</w:t>
      </w:r>
    </w:p>
    <w:p>
      <w:pPr>
        <w:pStyle w:val="Heading2"/>
      </w:pPr>
      <w:r>
        <w:t>IV. Efecto de la vigencia de la norma sobre la legislación nacional</w:t>
      </w:r>
    </w:p>
    <w:p>
      <w:pPr>
        <w:jc w:val="both"/>
      </w:pPr>
      <w:r>
        <w:t>Complementa la Ley 31250 (SINACTI) y el art. 19 del Reglamento de la Ley 31814. No deroga normas.</w:t>
      </w:r>
    </w:p>
    <w:p>
      <w:pPr>
        <w:pStyle w:val="Heading2"/>
      </w:pPr>
      <w:r>
        <w:t>V. Antecedentes</w:t>
      </w:r>
    </w:p>
    <w:p>
      <w:pPr>
        <w:jc w:val="both"/>
      </w:pPr>
      <w:r>
        <w:t>Por verificar en SPLEY.</w:t>
      </w:r>
    </w:p>
    <w:p>
      <w:pPr>
        <w:pStyle w:val="Heading2"/>
      </w:pPr>
      <w:r>
        <w:t>VI. Indicador de éxito</w:t>
      </w:r>
    </w:p>
    <w:p>
      <w:pPr>
        <w:jc w:val="both"/>
      </w:pPr>
      <w:r>
        <w:t>Al 2031, Red operativa con nodos en al menos tres macrorregiones y convocatorias anuales que asignen cómputo a proyectos de universidades de al menos 15 regiones (hacia la meta 2040 del Plan IA Perú 2050 de acceso en 25 regiones).</w:t>
      </w:r>
    </w:p>
    <w:p>
      <w:pPr>
        <w:pStyle w:val="Heading2"/>
      </w:pPr>
      <w:r>
        <w:t>VII. Vinculación con la Agenda Legislativa y el Plan Perú 2050</w:t>
      </w:r>
    </w:p>
    <w:p>
      <w:r>
        <w:t>Comisiones temáticas del Plan Perú 2050: Inteligencia Artificial, Ciencia y Tecnología, Capital Del Conocimiento. ODS: 9, 4.</w:t>
      </w:r>
    </w:p>
    <w:p>
      <w:pPr>
        <w:pStyle w:val="Heading2"/>
      </w:pPr>
      <w:r>
        <w:t>VIII. Referencias</w:t>
      </w:r>
    </w:p>
    <w:p>
      <w:pPr>
        <w:pStyle w:val="ListBullet"/>
      </w:pPr>
      <w:r>
        <w:t>Ley 31250, Ley del Sistema Nacional de Ciencia, Tecnología e Innovación — https://busquedas.elperuano.pe/dispositivo/NL/1968664-1</w:t>
      </w:r>
    </w:p>
    <w:p>
      <w:pPr>
        <w:pStyle w:val="ListBullet"/>
      </w:pPr>
      <w:r>
        <w:t>Decreto Supremo 115-2025-PCM, Reglamento de la Ley 31814 (art. 19) — https://busquedas.elperuano.pe/dispositivo/NL/2436426-1</w:t>
      </w:r>
    </w:p>
    <w:p>
      <w:pPr>
        <w:pStyle w:val="ListBullet"/>
      </w:pPr>
      <w:r>
        <w:t>Decreto de Urgencia 007-2020, Marco de Confianza Digital — https://www.gob.pe/institucion/pcm/normas-legales/395322-007-2020</w:t>
      </w:r>
    </w:p>
    <w:p>
      <w:pPr>
        <w:pStyle w:val="ListBullet"/>
      </w:pPr>
      <w:r>
        <w:t>Unión Europea: EuroHPC Joint Undertaking (red europea de supercomputación y AI Factories) — https://eurohpc-ju.europa.eu</w:t>
      </w:r>
    </w:p>
    <w:p>
      <w:pPr>
        <w:pStyle w:val="ListBullet"/>
      </w:pPr>
      <w:r>
        <w:t>Estados Unidos: National AI Research Resource (NAIRR) Pilot — https://nairrpilot.org</w:t>
      </w:r>
    </w:p>
    <w:p>
      <w:pPr>
        <w:pStyle w:val="ListBullet"/>
      </w:pPr>
      <w:r>
        <w:t>España: MareNostrum 5, Barcelona Supercomputing Center — https://www.bsc.es/marenostrum/marenostrum-5</w:t>
      </w:r>
    </w:p>
    <w:p>
      <w:pPr>
        <w:pStyle w:val="ListBullet"/>
      </w:pPr>
      <w:r>
        <w:t>Plan Perú 2050 (CNPP/CIP), dashboard de comisiones temáticas — https://planperu2050.pe</w:t>
      </w:r>
    </w:p>
    <w:p>
      <w:pPr>
        <w:pStyle w:val="ListBullet"/>
      </w:pPr>
      <w:r>
        <w:t>UNESCO, Evaluación del estadio de preparación de la IA del Perú (RAM) — https://www.unesco.org/es/articles/peru-evaluacion-del-estadio-de-preparacion-de-la-inteligencia-artificial</w:t>
      </w:r>
    </w:p>
    <w:p>
      <w:pPr>
        <w:pStyle w:val="ListBullet"/>
      </w:pPr>
      <w:r>
        <w:t>Índice Latinoamericano de Inteligencia Artificial (ILIA, CENIA) — https://indicelatam.cl</w:t>
      </w:r>
    </w:p>
    <w:p>
      <w:r>
        <w:t>Fuente: Agenda Legislativa Tech Perú 2026–2031 (https://unimauro.github.io/agenda-legislativa-tech/p/IA-05.html),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crea la Red Nacional de Cómputo Avanzado para la Investigación en Inteligencia Artificial</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