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GARANTIZA LA TRANSPARENCIA DE LA GESTIÓN ALGORÍTMICA EN LAS RELACIONES LABORALES Y PROMUEVE LA RECONVERSIÓN DE TRABAJADORES AFECTADOS POR LA AUTOMATIZACIÓN</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GARANTIZA LA TRANSPARENCIA DE LA GESTIÓN ALGORÍTMICA EN LAS RELACIONES LABORALES Y PROMUEVE LA RECONVERSIÓN DE TRABAJADORES AFECTADOS POR LA AUTOMATIZACIÓN</w:t>
      </w:r>
    </w:p>
    <w:p>
      <w:pPr>
        <w:jc w:val="both"/>
      </w:pPr>
      <w:r>
        <w:rPr>
          <w:b/>
        </w:rPr>
        <w:t>Artículo 1. Objeto</w:t>
        <w:br/>
      </w:r>
      <w:r>
        <w:t>La presente ley tiene por objeto garantizar la transparencia y la supervisión humana en el uso de sistemas automatizados y de inteligencia artificial para la gestión de las relaciones laborales, y promover la reconversión de los trabajadores cuyas ocupaciones se transformen por la automatización.</w:t>
      </w:r>
    </w:p>
    <w:p>
      <w:pPr>
        <w:jc w:val="both"/>
      </w:pPr>
      <w:r>
        <w:rPr>
          <w:b/>
        </w:rPr>
        <w:t>Artículo 2. Ámbito</w:t>
        <w:br/>
      </w:r>
      <w:r>
        <w:t>La presente ley se aplica a los empleadores del sector privado y a las entidades públicas respecto de sus trabajadores, así como a las plataformas digitales que organicen la prestación de servicios de personas, sin perjuicio de la calificación jurídica de dicha relación.</w:t>
      </w:r>
    </w:p>
    <w:p>
      <w:pPr>
        <w:jc w:val="both"/>
      </w:pPr>
      <w:r>
        <w:rPr>
          <w:b/>
        </w:rPr>
        <w:t>Artículo 3. Derecho de información</w:t>
        <w:br/>
      </w:r>
      <w:r>
        <w:t>3.1. El empleador informa por escrito a los trabajadores y, en su caso, a sus representantes, sobre los sistemas automatizados o de IA utilizados para decidir o asistir en la selección, contratación, asignación de tareas, evaluación del desempeño, remuneración variable, sanciones o extinción del vínculo, indicando su finalidad, los principales parámetros y la forma en que inciden en las decisiones.</w:t>
        <w:br/>
        <w:t>3.2. La información se actualiza ante cualquier cambio sustancial y se proporciona a los postulantes respecto de los sistemas usados en la selección.</w:t>
      </w:r>
    </w:p>
    <w:p>
      <w:pPr>
        <w:jc w:val="both"/>
      </w:pPr>
      <w:r>
        <w:rPr>
          <w:b/>
        </w:rPr>
        <w:t>Artículo 4. Revisión humana y prohibiciones</w:t>
        <w:br/>
      </w:r>
      <w:r>
        <w:t>4.1. El despido, la no renovación contractual por desempeño y la imposición de sanciones disciplinarias no pueden sustentarse exclusivamente en una decisión automatizada; requieren la evaluación de una persona con facultades para modificarla.</w:t>
        <w:br/>
        <w:t>4.2. El trabajador puede solicitar la explicación y la revisión humana de cualquier decisión automatizada que le afecte significativamente.</w:t>
        <w:br/>
        <w:t>4.3. Se prohíbe el uso de sistemas que infieran emociones de los trabajadores en el lugar de trabajo, salvo por razones médicas o de seguridad debidamente justificadas, y la vigilancia algorítmica fuera de la jornada laboral.</w:t>
      </w:r>
    </w:p>
    <w:p>
      <w:pPr>
        <w:jc w:val="both"/>
      </w:pPr>
      <w:r>
        <w:rPr>
          <w:b/>
        </w:rPr>
        <w:t>Artículo 5. Evaluación de impacto obligatoria para grandes empleadores</w:t>
        <w:br/>
      </w:r>
      <w:r>
        <w:t>Los empleadores con más de cien trabajadores que utilicen sistemas de IA de riesgo alto en el empleo realizan la evaluación de impacto prevista en el Reglamento de la Ley 31814, la que es puesta en conocimiento de los representantes de los trabajadores y de la Superintendencia Nacional de Fiscalización Laboral (SUNAFIL) cuando lo requiera.</w:t>
      </w:r>
    </w:p>
    <w:p>
      <w:pPr>
        <w:jc w:val="both"/>
      </w:pPr>
      <w:r>
        <w:rPr>
          <w:b/>
        </w:rPr>
        <w:t>Artículo 6. Fiscalización</w:t>
        <w:br/>
      </w:r>
      <w:r>
        <w:t>La SUNAFIL fiscaliza el cumplimiento de la presente ley. El incumplimiento de los artículos 3, 4 y 5 constituye infracción en materia de relaciones laborales, conforme a la Ley 28806, Ley General de Inspección del Trabajo, y su reglamento, que se adecúa para tipificarla.</w:t>
      </w:r>
    </w:p>
    <w:p>
      <w:pPr>
        <w:jc w:val="both"/>
      </w:pPr>
      <w:r>
        <w:rPr>
          <w:b/>
        </w:rPr>
        <w:t>Artículo 7. Observatorio de Automatización y Empleo</w:t>
        <w:br/>
      </w:r>
      <w:r>
        <w:t>El Ministerio de Trabajo y Promoción del Empleo implementa, dentro de su estructura existente, el Observatorio de Automatización y Empleo, que publica anualmente estimaciones de exposición de las ocupaciones a la automatización y a la IA en el Perú, con base en la Encuesta Nacional de Hogares del INEI y metodologías internacionales.</w:t>
      </w:r>
    </w:p>
    <w:p>
      <w:pPr>
        <w:jc w:val="both"/>
      </w:pPr>
      <w:r>
        <w:rPr>
          <w:b/>
        </w:rPr>
        <w:t>Artículo 8. Línea de reconversión laboral</w:t>
        <w:br/>
      </w:r>
      <w:r>
        <w:t>Los programas de empleabilidad y capacitación del Ministerio de Trabajo y Promoción del Empleo incorporan una línea de reconversión priorizada para trabajadores de ocupaciones con alta exposición, en coordinación con los institutos de educación superior tecnológica y la Autoridad Nacional del Servicio Civil para el caso de servidores públicos.</w:t>
      </w:r>
    </w:p>
    <w:p>
      <w:pPr>
        <w:jc w:val="both"/>
      </w:pPr>
      <w:r>
        <w:rPr>
          <w:b/>
        </w:rPr>
        <w:t>Primera. Disposición Complementaria Final</w:t>
        <w:br/>
      </w:r>
      <w:r>
        <w:t>Reglamentación. El Poder Ejecutivo, mediante decreto supremo refrendado por el Ministerio de Trabajo y Promoción del Empleo, reglamenta la presente ley en un plazo de noventa días hábiles, previa consulta al Consejo Nacional de Trabajo y Promoción del Empleo.</w:t>
      </w:r>
    </w:p>
    <w:p>
      <w:pPr>
        <w:jc w:val="both"/>
      </w:pPr>
      <w:r>
        <w:rPr>
          <w:b/>
        </w:rPr>
        <w:t>Segunda. Disposición Complementaria Final</w:t>
        <w:br/>
      </w:r>
      <w:r>
        <w:t>Financiamiento. La implementación se financia con cargo al presupuesto institucional del Ministerio de Trabajo y Promoción del Empleo y de la SUNAFIL, sin demandar recursos adicionales al Tesoro Público.</w:t>
      </w:r>
    </w:p>
    <w:p>
      <w:pPr>
        <w:jc w:val="both"/>
      </w:pPr>
      <w:r>
        <w:rPr>
          <w:b/>
        </w:rPr>
        <w:t>Tercera. Disposición Complementaria Final</w:t>
        <w:br/>
      </w:r>
      <w:r>
        <w:t>Vigencia. La presente ley entra en vigencia a los seis meses de su publicación.</w:t>
      </w:r>
    </w:p>
    <w:p>
      <w:r>
        <w:t>Lima, ___ de __________ de 20__</w:t>
      </w:r>
    </w:p>
    <w:p>
      <w:r>
        <w:br w:type="page"/>
      </w:r>
    </w:p>
    <w:p>
      <w:pPr>
        <w:pStyle w:val="Heading1"/>
      </w:pPr>
      <w:r>
        <w:t>EXPOSICIÓN DE MOTIVOS</w:t>
      </w:r>
    </w:p>
    <w:p>
      <w:pPr>
        <w:pStyle w:val="Heading2"/>
      </w:pPr>
      <w:r>
        <w:t>I. Fundamentos y problema</w:t>
      </w:r>
    </w:p>
    <w:p>
      <w:pPr>
        <w:jc w:val="both"/>
      </w:pPr>
      <w:r>
        <w:t>El Reglamento de la Ley 31814 califica como de riesgo alto los sistemas de IA utilizados en el empleo (art. 24.1), pero para el sector privado la evaluación de impacto es voluntaria (art. 32.1), y la legislación laboral peruana no regula la gestión algorítmica: selección automatizada de personal, asignación de turnos, medición de productividad o propuestas de despido generadas por software. El trabajador no tiene derecho expreso a saber qué parámetros lo evalúan ni a que una persona revise la decisión. Al mismo tiempo, la OIT (2025) estima que uno de cada cuatro trabajadores en el mundo está en una ocupación con algún grado de exposición a la IA generativa, con mayor exposición en ocupaciones administrativas y en empleo femenino; el resultado más probable es la transformación de los puestos más que su desaparición, lo que exige reconversión oportuna. El Banco Mundial (WDR 2026, citado en el Plan IA Perú 2050) estima que la proporción de empleos en riesgo por automatización es menor en países en desarrollo (4,5%) que en los de ingreso alto (14,2%), lo que da margen para anticiparse. España (Ley 12/2021) y la Unión Europea (Directiva 2024/2831) ya reconocen derechos de información sobre algoritmos en el trabajo.</w:t>
      </w:r>
    </w:p>
    <w:p>
      <w:pPr>
        <w:pStyle w:val="Heading2"/>
      </w:pPr>
      <w:r>
        <w:t>II. Objeto</w:t>
      </w:r>
    </w:p>
    <w:p>
      <w:pPr>
        <w:jc w:val="both"/>
      </w:pPr>
      <w:r>
        <w:t>Garantizar derechos de información, explicación y revisión humana frente a la gestión algorítmica en el trabajo y crear instrumentos de anticipación y reconversión laboral frente a la automatización.</w:t>
      </w:r>
    </w:p>
    <w:p>
      <w:pPr>
        <w:pStyle w:val="Heading2"/>
      </w:pPr>
      <w:r>
        <w:t>III. Análisis costo-beneficio</w:t>
      </w:r>
    </w:p>
    <w:p>
      <w:pPr>
        <w:jc w:val="both"/>
      </w:pPr>
      <w:r>
        <w:t>El costo fiscal es bajo: el observatorio y la línea de reconversión se implementan con la estructura y programas existentes del Ministerio de Trabajo, y la fiscalización se suma a las competencias de la SUNAFIL. Para las empresas, el costo es principalmente documental; la evaluación de impacto obligatoria se limita a grandes empleadores. El beneficio es prevenir despidos o sanciones arbitrarias basadas en sistemas opacos, reducir litigios laborales, dar certeza a empresas que usan IA de buena fe y anticipar la transformación de ocupaciones con información pública. No genera gasto adicional al Tesoro.</w:t>
      </w:r>
    </w:p>
    <w:p>
      <w:pPr>
        <w:pStyle w:val="Heading2"/>
      </w:pPr>
      <w:r>
        <w:t>IV. Efecto de la vigencia de la norma sobre la legislación nacional</w:t>
      </w:r>
    </w:p>
    <w:p>
      <w:pPr>
        <w:jc w:val="both"/>
      </w:pPr>
      <w:r>
        <w:t>Complementa la Ley 31814 y su Reglamento y la Ley 28806; requiere adecuar el reglamento de la Ley General de Inspección del Trabajo. No deroga normas.</w:t>
      </w:r>
    </w:p>
    <w:p>
      <w:pPr>
        <w:pStyle w:val="Heading2"/>
      </w:pPr>
      <w:r>
        <w:t>V. Antecedentes</w:t>
      </w:r>
    </w:p>
    <w:p>
      <w:pPr>
        <w:jc w:val="both"/>
      </w:pPr>
      <w:r>
        <w:t>Por verificar en SPLEY.</w:t>
      </w:r>
    </w:p>
    <w:p>
      <w:pPr>
        <w:pStyle w:val="Heading2"/>
      </w:pPr>
      <w:r>
        <w:t>VI. Indicador de éxito</w:t>
      </w:r>
    </w:p>
    <w:p>
      <w:pPr>
        <w:jc w:val="both"/>
      </w:pPr>
      <w:r>
        <w:t>Al 2031, observatorio publicando estimaciones anuales de exposición ocupacional; protocolo de fiscalización de SUNAFIL sobre gestión algorítmica aplicado; y trabajadores de ocupaciones de alta exposición atendidos por la línea de reconversión reportados anualmente.</w:t>
      </w:r>
    </w:p>
    <w:p>
      <w:pPr>
        <w:pStyle w:val="Heading2"/>
      </w:pPr>
      <w:r>
        <w:t>VII. Vinculación con la Agenda Legislativa y el Plan Perú 2050</w:t>
      </w:r>
    </w:p>
    <w:p>
      <w:r>
        <w:t>Comisiones temáticas del Plan Perú 2050: Inteligencia Artificial, Desarrollo Humano e Industrialización, Cohesión Social. ODS: 8, 10.</w:t>
      </w:r>
    </w:p>
    <w:p>
      <w:pPr>
        <w:pStyle w:val="Heading2"/>
      </w:pPr>
      <w:r>
        <w:t>VIII. Referencias</w:t>
      </w:r>
    </w:p>
    <w:p>
      <w:pPr>
        <w:pStyle w:val="ListBullet"/>
      </w:pPr>
      <w:r>
        <w:t>Decreto Supremo 115-2025-PCM, Reglamento de la Ley 31814 (arts. 24.1 y 32.1) — https://busquedas.elperuano.pe/dispositivo/NL/2436426-1</w:t>
      </w:r>
    </w:p>
    <w:p>
      <w:pPr>
        <w:pStyle w:val="ListBullet"/>
      </w:pPr>
      <w:r>
        <w:t>Ley 29733, Ley de Protección de Datos Personales (art. 23) — https://www.leyes.congreso.gob.pe/Documentos/Leyes/29733.pdf</w:t>
      </w:r>
    </w:p>
    <w:p>
      <w:pPr>
        <w:pStyle w:val="ListBullet"/>
      </w:pPr>
      <w:r>
        <w:t>Ley 31814, Ley que promueve el uso de la IA — https://busquedas.elperuano.pe/dispositivo/NL/2192926-1</w:t>
      </w:r>
    </w:p>
    <w:p>
      <w:pPr>
        <w:pStyle w:val="ListBullet"/>
      </w:pPr>
      <w:r>
        <w:t>España: Ley 12/2021 (información a la representación de los trabajadores sobre algoritmos) — https://www.boe.es/buscar/doc.php?id=BOE-A-2021-15767</w:t>
      </w:r>
    </w:p>
    <w:p>
      <w:pPr>
        <w:pStyle w:val="ListBullet"/>
      </w:pPr>
      <w:r>
        <w:t>Unión Europea: Directiva (UE) 2024/2831 relativa a la mejora de las condiciones laborales en el trabajo en plataformas (gestión algorítmica) — https://eur-lex.europa.eu/eli/dir/2024/2831/oj</w:t>
      </w:r>
    </w:p>
    <w:p>
      <w:pPr>
        <w:pStyle w:val="ListBullet"/>
      </w:pPr>
      <w:r>
        <w:t>Estados Unidos (Nueva York): Local Law 144 sobre herramientas automatizadas de decisión de empleo (auditoría de sesgos) — https://www.nyc.gov/site/dca/about/automated-employment-decision-tools.page</w:t>
      </w:r>
    </w:p>
    <w:p>
      <w:pPr>
        <w:pStyle w:val="ListBullet"/>
      </w:pPr>
      <w:r>
        <w:t>OIT, Generative AI and Jobs: A Refined Global Index of Occupational Exposure (2025) — https://www.ilo.org/publications/generative-ai-and-jobs-refined-global-index-occupational-exposure</w:t>
      </w:r>
    </w:p>
    <w:p>
      <w:pPr>
        <w:pStyle w:val="ListBullet"/>
      </w:pPr>
      <w:r>
        <w:t>Banco Mundial, World Development Report 2026 — https://www.worldbank.org/en/publication/wdr2026</w:t>
      </w:r>
    </w:p>
    <w:p>
      <w:pPr>
        <w:pStyle w:val="ListBullet"/>
      </w:pPr>
      <w:r>
        <w:t>Reglamento de la Ley 31814 (D.S. 115-2025-PCM) — https://busquedas.elperuano.pe/dispositivo/NL/2436426-1</w:t>
      </w:r>
    </w:p>
    <w:p>
      <w:r>
        <w:t>Fuente: Agenda Legislativa Tech Perú 2026–2031 (https://unimauro.github.io/agenda-legislativa-tech/p/IA-13.html),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garantiza la transparencia de la gestión algorítmica en las relaciones laborales y promueve la reconversión de trabajadores afectados por la automatización</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