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REGULA LOS PROGRAMAS DE FORMACIÓN TECNOLÓGICA DE CORTA DURACIÓN Y SU CERTIFICACIÓN MODULAR DE CALIDAD</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REGULA LOS PROGRAMAS DE FORMACIÓN TECNOLÓGICA DE CORTA DURACIÓN Y SU CERTIFICACIÓN MODULAR DE CALIDAD</w:t>
      </w:r>
    </w:p>
    <w:p>
      <w:pPr>
        <w:jc w:val="both"/>
      </w:pPr>
      <w:r>
        <w:rPr>
          <w:b/>
        </w:rPr>
        <w:t>Artículo 1. Objeto</w:t>
        <w:br/>
      </w:r>
      <w:r>
        <w:t>La presente ley tiene por objeto reconocer y regular los programas de formación tecnológica de corta duración en competencias digitales y establecer un mecanismo voluntario de certificación modular de calidad que permita su convalidación en la educación superior técnica.</w:t>
      </w:r>
    </w:p>
    <w:p>
      <w:pPr>
        <w:jc w:val="both"/>
      </w:pPr>
      <w:r>
        <w:rPr>
          <w:b/>
        </w:rPr>
        <w:t>Artículo 2. Definición</w:t>
        <w:br/>
      </w:r>
      <w:r>
        <w:t>Para efectos de la presente ley, se entiende por programa de formación tecnológica de corta duración a aquel programa intensivo, presencial, semipresencial o a distancia, con una duración no mayor de doce meses, orientado al desarrollo de competencias laborales en tecnologías digitales, cuyos resultados de aprendizaje son evaluables.</w:t>
      </w:r>
    </w:p>
    <w:p>
      <w:pPr>
        <w:jc w:val="both"/>
      </w:pPr>
      <w:r>
        <w:rPr>
          <w:b/>
        </w:rPr>
        <w:t>Artículo 3. Entidades formadoras</w:t>
        <w:br/>
      </w:r>
      <w:r>
        <w:t>Pueden ofrecer estos programas los institutos y escuelas de educación superior, las universidades, los centros de educación técnico-productiva y las personas jurídicas que cumplan con las condiciones de información y transparencia establecidas en la presente ley.</w:t>
      </w:r>
    </w:p>
    <w:p>
      <w:pPr>
        <w:jc w:val="both"/>
      </w:pPr>
      <w:r>
        <w:rPr>
          <w:b/>
        </w:rPr>
        <w:t>Artículo 4. Certificación modular de calidad</w:t>
        <w:br/>
      </w:r>
      <w:r>
        <w:t>4.1 El SINEACE, o la entidad que haga sus veces, aprueba estándares de calidad para módulos de formación tecnológica de corta duración, alineados al Catálogo Nacional de la Oferta Formativa y al Marco Nacional de Cualificaciones. 4.2 La certificación es voluntaria, tiene una vigencia no mayor de tres años y puede ser otorgada por entidades evaluadoras autorizadas por el SINEACE.</w:t>
      </w:r>
    </w:p>
    <w:p>
      <w:pPr>
        <w:jc w:val="both"/>
      </w:pPr>
      <w:r>
        <w:rPr>
          <w:b/>
        </w:rPr>
        <w:t>Artículo 5. Convalidación de créditos</w:t>
        <w:br/>
      </w:r>
      <w:r>
        <w:t>Los institutos y escuelas de educación superior públicos y privados pueden convalidar los módulos certificados conforme al artículo 4 como unidades didácticas de programas de estudio afines, de acuerdo con los lineamientos que apruebe el Ministerio de Educación.</w:t>
      </w:r>
    </w:p>
    <w:p>
      <w:pPr>
        <w:jc w:val="both"/>
      </w:pPr>
      <w:r>
        <w:rPr>
          <w:b/>
        </w:rPr>
        <w:t>Artículo 6. Transparencia de resultados</w:t>
        <w:br/>
      </w:r>
      <w:r>
        <w:t>6.1 Las entidades que ofrezcan programas certificados publican de forma veraz, como mínimo: contenidos, horas, costo total, tasa de culminación y tasa de inserción laboral a seis meses, con su metodología de cálculo. 6.2 La publicidad sobre empleabilidad que no cuente con sustento verificable se sujeta a las disposiciones del Código de Protección y Defensa del Consumidor.</w:t>
      </w:r>
    </w:p>
    <w:p>
      <w:pPr>
        <w:jc w:val="both"/>
      </w:pPr>
      <w:r>
        <w:rPr>
          <w:b/>
        </w:rPr>
        <w:t>Artículo 7. Financiamiento a estudiantes</w:t>
        <w:br/>
      </w:r>
      <w:r>
        <w:t>El PRONABEC puede incluir, dentro de sus modalidades existentes y conforme a su disponibilidad presupuestal, becas o créditos educativos para programas certificados conforme a la presente ley.</w:t>
      </w:r>
    </w:p>
    <w:p>
      <w:pPr>
        <w:jc w:val="both"/>
      </w:pPr>
      <w:r>
        <w:rPr>
          <w:b/>
        </w:rPr>
        <w:t>Artículo 8. Registro público</w:t>
        <w:br/>
      </w:r>
      <w:r>
        <w:t>El Ministerio de Educación publica en su portal institucional y en la Plataforma Nacional de Datos Abiertos el registro de programas y entidades certificadas y sus indicadores de resultados.</w:t>
      </w:r>
    </w:p>
    <w:p>
      <w:pPr>
        <w:jc w:val="both"/>
      </w:pPr>
      <w:r>
        <w:rPr>
          <w:b/>
        </w:rPr>
        <w:t>Artículo 9. Financiamiento</w:t>
        <w:br/>
      </w:r>
      <w:r>
        <w:t>La aplicación de la presente ley se financia con cargo a los presupuestos institucionales del Ministerio de Educación y del SINEACE. Los costos de la evaluación para la certificación son asumidos por las entidades solicitantes conforme al TUPA correspondiente.</w:t>
      </w:r>
    </w:p>
    <w:p>
      <w:pPr>
        <w:jc w:val="both"/>
      </w:pPr>
      <w:r>
        <w:rPr>
          <w:b/>
        </w:rPr>
        <w:t>Primera. Disposición Complementaria Final</w:t>
        <w:br/>
      </w:r>
      <w:r>
        <w:t>Reglamentación. El Poder Ejecutivo reglamenta la presente ley en un plazo de noventa días hábiles mediante decreto supremo refrendado por el Ministro de Educación.</w:t>
      </w:r>
    </w:p>
    <w:p>
      <w:pPr>
        <w:jc w:val="both"/>
      </w:pPr>
      <w:r>
        <w:rPr>
          <w:b/>
        </w:rPr>
        <w:t>Segunda. Disposición Complementaria Final</w:t>
        <w:br/>
      </w:r>
      <w:r>
        <w:t>Estándares iniciales. El SINEACE aprueba, en un plazo de ciento ochenta días hábiles, los estándares para al menos cinco familias de competencias digitales priorizadas: desarrollo de software, análisis de datos, ciberseguridad básica, soporte en infraestructura en la nube y diseño digital.</w:t>
      </w:r>
    </w:p>
    <w:p>
      <w:pPr>
        <w:jc w:val="both"/>
      </w:pPr>
      <w:r>
        <w:rPr>
          <w:b/>
        </w:rPr>
        <w:t>Primera. Disposición Complementaria Modificatoria</w:t>
        <w:br/>
      </w:r>
      <w:r>
        <w:t>Incorporación en la Ley 30512. Incorpórase en la Ley 30512 una disposición complementaria final con el siguiente texto: "Los institutos y escuelas de educación superior pueden convalidar módulos de formación tecnológica de corta duración certificados conforme a la ley de la materia."</w:t>
      </w:r>
    </w:p>
    <w:p>
      <w:r>
        <w:t>Lima, ___ de __________ de 20__</w:t>
      </w:r>
    </w:p>
    <w:p>
      <w:r>
        <w:br w:type="page"/>
      </w:r>
    </w:p>
    <w:p>
      <w:pPr>
        <w:pStyle w:val="Heading1"/>
      </w:pPr>
      <w:r>
        <w:t>EXPOSICIÓN DE MOTIVOS</w:t>
      </w:r>
    </w:p>
    <w:p>
      <w:pPr>
        <w:pStyle w:val="Heading2"/>
      </w:pPr>
      <w:r>
        <w:t>I. Fundamentos y problema</w:t>
      </w:r>
    </w:p>
    <w:p>
      <w:pPr>
        <w:jc w:val="both"/>
      </w:pPr>
      <w:r>
        <w:t>La demanda de perfiles en desarrollo de software, análisis de datos, ciberseguridad, soporte en la nube y diseño digital crece más rápido que la capacidad de las carreras de cinco años. En el país han proliferado programas intensivos de corta duración, presenciales y virtuales, ofertados por empresas, institutos y universidades, que no cuentan con un estándar público de calidad ni con reconocimiento formal de los aprendizajes; los estudiantes no disponen de información comparable sobre empleabilidad, y los empleadores no pueden verificar competencias. La Ley 30512 regula institutos y escuelas de educación superior y contempla programas de formación continua, y la Ley 28740 encarga al SINEACE la certificación de competencias, pero no existe un procedimiento específico y ágil para evaluar módulos tecnológicos cortos ni para que estos se acumulen como créditos hacia un título técnico. El Plan Perú 2050 (Capital del Conocimiento) señala el desajuste entre las competencias de los egresados y las que demandan la digitalización y el análisis de datos. Sin reglas mínimas, persisten riesgos de publicidad engañosa sobre tasas de colocación.</w:t>
      </w:r>
    </w:p>
    <w:p>
      <w:pPr>
        <w:pStyle w:val="Heading2"/>
      </w:pPr>
      <w:r>
        <w:t>II. Objeto</w:t>
      </w:r>
    </w:p>
    <w:p>
      <w:pPr>
        <w:jc w:val="both"/>
      </w:pPr>
      <w:r>
        <w:t>Regular los programas de formación tecnológica de corta duración y establecer su certificación modular voluntaria de calidad y su convalidación.</w:t>
      </w:r>
    </w:p>
    <w:p>
      <w:pPr>
        <w:pStyle w:val="Heading2"/>
      </w:pPr>
      <w:r>
        <w:t>III. Análisis costo-beneficio</w:t>
      </w:r>
    </w:p>
    <w:p>
      <w:pPr>
        <w:jc w:val="both"/>
      </w:pPr>
      <w:r>
        <w:t>El costo fiscal es bajo: el SINEACE y el Minedu elaboran estándares y registro con su presupuesto institucional, y la evaluación es financiada por las entidades solicitantes mediante tasas. No hay gasto directo nuevo (art. 79). Para los estudiantes, la certificación reduce el riesgo de pagar por programas de baja calidad y permite acumular créditos hacia un título técnico; para las empresas, facilita la verificación de competencias. La transparencia obligatoria para programas certificados corrige asimetrías de información. El riesgo es la baja adopción de un sistema voluntario; se mitiga vinculando la certificación al acceso a becas y créditos del PRONABEC.</w:t>
      </w:r>
    </w:p>
    <w:p>
      <w:pPr>
        <w:pStyle w:val="Heading2"/>
      </w:pPr>
      <w:r>
        <w:t>IV. Efecto de la vigencia de la norma sobre la legislación nacional</w:t>
      </w:r>
    </w:p>
    <w:p>
      <w:pPr>
        <w:jc w:val="both"/>
      </w:pPr>
      <w:r>
        <w:t>Complementa la Ley 30512 (incorpora una disposición complementaria final) y la Ley 28740. Se articula con el Código de Protección y Defensa del Consumidor (Ley 29571).</w:t>
      </w:r>
    </w:p>
    <w:p>
      <w:pPr>
        <w:pStyle w:val="Heading2"/>
      </w:pPr>
      <w:r>
        <w:t>V. Antecedentes</w:t>
      </w:r>
    </w:p>
    <w:p>
      <w:pPr>
        <w:jc w:val="both"/>
      </w:pPr>
      <w:r>
        <w:t>Por verificar en SPLEY.</w:t>
      </w:r>
    </w:p>
    <w:p>
      <w:pPr>
        <w:pStyle w:val="Heading2"/>
      </w:pPr>
      <w:r>
        <w:t>VI. Indicador de éxito</w:t>
      </w:r>
    </w:p>
    <w:p>
      <w:pPr>
        <w:jc w:val="both"/>
      </w:pPr>
      <w:r>
        <w:t>A 2031, registro público con al menos 100 programas certificados y tasa de inserción laboral publicada para todos ellos.</w:t>
      </w:r>
    </w:p>
    <w:p>
      <w:pPr>
        <w:pStyle w:val="Heading2"/>
      </w:pPr>
      <w:r>
        <w:t>VII. Vinculación con la Agenda Legislativa y el Plan Perú 2050</w:t>
      </w:r>
    </w:p>
    <w:p>
      <w:r>
        <w:t>Comisiones temáticas del Plan Perú 2050: Capital Del Conocimiento, Proyecto País Joven, Educación (Tres Niveles). ODS: 4, 8.</w:t>
      </w:r>
    </w:p>
    <w:p>
      <w:pPr>
        <w:pStyle w:val="Heading2"/>
      </w:pPr>
      <w:r>
        <w:t>VIII. Referencias</w:t>
      </w:r>
    </w:p>
    <w:p>
      <w:pPr>
        <w:pStyle w:val="ListBullet"/>
      </w:pPr>
      <w:r>
        <w:t>Ley 30512, Ley de Institutos y Escuelas de Educación Superior y de la Carrera Pública de sus Docentes — https://leyes.congreso.gob.pe/Documentos/2016_2021/ADLP/Texto_Consolidado/30512-TXM.pdf</w:t>
      </w:r>
    </w:p>
    <w:p>
      <w:pPr>
        <w:pStyle w:val="ListBullet"/>
      </w:pPr>
      <w:r>
        <w:t>Ley 28740, Ley del Sistema Nacional de Evaluación, Acreditación y Certificación de la Calidad Educativa (SINEACE) — https://www.leyes.congreso.gob.pe/Documentos/Leyes/28740.pdf</w:t>
      </w:r>
    </w:p>
    <w:p>
      <w:pPr>
        <w:pStyle w:val="ListBullet"/>
      </w:pPr>
      <w:r>
        <w:t>Ley 29571, Código de Protección y Defensa del Consumidor — https://www.leyes.congreso.gob.pe/Documentos/Leyes/29571.pdf</w:t>
      </w:r>
    </w:p>
    <w:p>
      <w:pPr>
        <w:pStyle w:val="ListBullet"/>
      </w:pPr>
      <w:r>
        <w:t>Ley 29837, Ley que crea el Programa Nacional de Becas y Crédito Educativo (PRONABEC) — https://www.leyes.congreso.gob.pe/Documentos/Leyes/29837.pdf</w:t>
      </w:r>
    </w:p>
    <w:p>
      <w:pPr>
        <w:pStyle w:val="ListBullet"/>
      </w:pPr>
      <w:r>
        <w:t>Unión Europea: Recomendación del Consejo de 16 de junio de 2022 relativa a un enfoque europeo de las microcredenciales (2022/C 243/02) — https://eur-lex.europa.eu/legal-content/EN/TXT/?uri=CELEX:32022H0627(02)</w:t>
      </w:r>
    </w:p>
    <w:p>
      <w:pPr>
        <w:pStyle w:val="ListBullet"/>
      </w:pPr>
      <w:r>
        <w:t>Singapur: Programa SkillsFuture (créditos de formación continua y certificación modular) — https://www.skillsfuture.gov.sg/</w:t>
      </w:r>
    </w:p>
    <w:p>
      <w:pPr>
        <w:pStyle w:val="ListBullet"/>
      </w:pPr>
      <w:r>
        <w:t>Minedu: Reglamento de la Ley 30512 — https://www.minedu.gob.pe/superiorpedagogica/reglamento-de-la-ley-n-30512-ley-de-institutos-y-escuelas-de-educacion-superior-y-de-la-carrera-publica-de-sus-docentes/</w:t>
      </w:r>
    </w:p>
    <w:p>
      <w:pPr>
        <w:pStyle w:val="ListBullet"/>
      </w:pPr>
      <w:r>
        <w:t>SkillsFuture Singapore — https://www.skillsfuture.gov.sg/</w:t>
      </w:r>
    </w:p>
    <w:p>
      <w:pPr>
        <w:pStyle w:val="ListBullet"/>
      </w:pPr>
      <w:r>
        <w:t>PRONABEC: portal institucional — https://www.pronabec.gob.pe/</w:t>
      </w:r>
    </w:p>
    <w:p>
      <w:r>
        <w:t>Fuente: Agenda Legislativa Tech Perú 2026–2031 (https://unimauro.github.io/agenda-legislativa-tech/p/TAL-04.html),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regula los programas de formación tecnológica de corta duración y su certificación modular de calidad</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