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CONTRA LA SUPLANTACIÓN DE IDENTIFICADORES TELEFÓNICOS Y MENSAJES FRAUDULENTOS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CONTRA LA SUPLANTACIÓN DE IDENTIFICADORES TELEFÓNICOS Y MENSAJES FRAUDULENTOS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prevenir la suplantación de identificadores de llamada y de remitentes de mensajes de texto con fines fraudulentos, mediante obligaciones de autenticación, registro y bloqueo a cargo de los operadores de telecomunicaciones.</w:t>
      </w:r>
    </w:p>
    <w:p>
      <w:pPr>
        <w:jc w:val="both"/>
      </w:pPr>
      <w:r>
        <w:rPr>
          <w:b/>
        </w:rPr>
        <w:t>Artículo 2. Autenticación del identificador de llamada</w:t>
        <w:br/>
      </w:r>
      <w:r>
        <w:t>Los operadores de servicios públicos de telefonía implementan mecanismos técnicos de autenticación del número de origen en las llamadas cursadas por sus redes e interconexiones, conforme a estándares internacionales, y no presentan al usuario como identificador un número no verificado sin advertencia.</w:t>
      </w:r>
    </w:p>
    <w:p>
      <w:pPr>
        <w:jc w:val="both"/>
      </w:pPr>
      <w:r>
        <w:rPr>
          <w:b/>
        </w:rPr>
        <w:t>Artículo 3. Llamadas internacionales con numeración nacional</w:t>
        <w:br/>
      </w:r>
      <w:r>
        <w:t>Los operadores bloquean o marcan como sospechosas las llamadas de origen internacional que presenten numeración nacional, salvo los casos de itinerancia debidamente verificados.</w:t>
      </w:r>
    </w:p>
    <w:p>
      <w:pPr>
        <w:jc w:val="both"/>
      </w:pPr>
      <w:r>
        <w:rPr>
          <w:b/>
        </w:rPr>
        <w:t>Artículo 4. Registro de remitentes alfanuméricos</w:t>
        <w:br/>
      </w:r>
      <w:r>
        <w:t>Créase el Registro de Remitentes de Mensajes, a cargo del OSIPTEL, en el que las organizaciones que envíen mensajes de texto con identificadores alfanuméricos deben inscribirse acreditando su identidad. Los operadores bloquean o etiquetan como no verificados los mensajes con remitentes alfanuméricos no inscritos.</w:t>
      </w:r>
    </w:p>
    <w:p>
      <w:pPr>
        <w:jc w:val="both"/>
      </w:pPr>
      <w:r>
        <w:rPr>
          <w:b/>
        </w:rPr>
        <w:t>Artículo 5. Canal de reporte ciudadano</w:t>
        <w:br/>
      </w:r>
      <w:r>
        <w:t>El OSIPTEL habilita un canal gratuito, accesible por mensaje de texto, web y aplicación, para que los usuarios reporten números y mensajes presuntamente fraudulentos. Los reportes verificados se comparten con los operadores para su bloqueo y con el Ministerio Público y la Policía Nacional del Perú para fines de investigación.</w:t>
      </w:r>
    </w:p>
    <w:p>
      <w:pPr>
        <w:jc w:val="both"/>
      </w:pPr>
      <w:r>
        <w:rPr>
          <w:b/>
        </w:rPr>
        <w:t>Artículo 6. Lista de numeración protegida</w:t>
        <w:br/>
      </w:r>
      <w:r>
        <w:t>Las entidades financieras y las entidades públicas pueden registrar ante el OSIPTEL los números que no utilizan para llamadas salientes; los operadores bloquean las llamadas que presenten dichos números como identificador.</w:t>
      </w:r>
    </w:p>
    <w:p>
      <w:pPr>
        <w:jc w:val="both"/>
      </w:pPr>
      <w:r>
        <w:rPr>
          <w:b/>
        </w:rPr>
        <w:t>Artículo 7. Protección de datos</w:t>
        <w:br/>
      </w:r>
      <w:r>
        <w:t>El tratamiento de datos derivado de la presente ley se sujeta a la Ley 29733, se limita a la finalidad de prevención del fraude y no habilita la interceptación del contenido de las comunicaciones.</w:t>
      </w:r>
    </w:p>
    <w:p>
      <w:pPr>
        <w:jc w:val="both"/>
      </w:pPr>
      <w:r>
        <w:rPr>
          <w:b/>
        </w:rPr>
        <w:t>Artículo 8. Infracciones</w:t>
        <w:br/>
      </w:r>
      <w:r>
        <w:t>El incumplimiento de las obligaciones de la presente ley constituye infracción sancionable por el OSIPTEL conforme a su Reglamento General de Infracciones y Sanciones, que se adecúa en el plazo que fije el reglamento.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Ejecutivo, mediante decreto supremo refrendado por el Ministro de Transportes y Comunicaciones, previa opinión del OSIPTEL, reglamenta la presente ley en un plazo no mayor de 90 días hábiles contados desde su entrada en vigencia.</w:t>
      </w:r>
    </w:p>
    <w:p>
      <w:pPr>
        <w:jc w:val="both"/>
      </w:pPr>
      <w:r>
        <w:rPr>
          <w:b/>
        </w:rPr>
        <w:t>Segunda. Disposición Complementaria Final</w:t>
        <w:br/>
      </w:r>
      <w:r>
        <w:t>Implementación gradual. Las obligaciones de los artículos 2 y 3 son exigibles a los 18 meses y las de los artículos 4 a 6 a los 9 meses de la entrada en vigencia del reglamento.</w:t>
      </w:r>
    </w:p>
    <w:p>
      <w:pPr>
        <w:jc w:val="both"/>
      </w:pPr>
      <w:r>
        <w:rPr>
          <w:b/>
        </w:rPr>
        <w:t>Tercera. Disposición Complementaria Final</w:t>
        <w:br/>
      </w:r>
      <w:r>
        <w:t>Coordinación con la Ley 32323. La numeración especial para llamadas comerciales prevista en la normativa de desarrollo de la Ley 32323 se integra a los mecanismos de autenticación de la presente ley.</w:t>
      </w:r>
    </w:p>
    <w:p>
      <w:pPr>
        <w:jc w:val="both"/>
      </w:pPr>
      <w:r>
        <w:rPr>
          <w:b/>
        </w:rPr>
        <w:t>Cuarta. Disposición Complementaria Final</w:t>
        <w:br/>
      </w:r>
      <w:r>
        <w:t>Financiamiento. La implementación de la presente ley se financia con cargo al presupuesto institucional de el OSIPTEL, sin demandar recursos adicionales al Tesoro Público.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Ley 32323 (2025) modificó el artículo 58 del Código de Protección y Defensa del Consumidor para prohibir las comunicaciones comerciales no consentidas y encargó normas para identificar llamadas comerciales con numeración especial (CMS Grau). Esa norma enfrenta el spam de empresas formales, pero no la suplantación de identidad telefónica usada por delincuentes: llamadas que muestran números falsos o similares a los de bancos y entidades públicas, y mensajes de texto con remitentes que imitan marcas para robar credenciales. Estas modalidades alimentan el fraude informático y la suplantación de identidad, que concentran más del 92 % de las denuncias por delitos informáticos entre enero y julio de 2026 (El Peruano, 2-9-2026). El Perú no exige legalmente la autenticación del identificador de llamada ni un registro de remitentes alfanuméricos, medidas que Estados Unidos (STIR/SHAKEN) y Singapur han implementado. Tampoco existe un canal ciudadano único para reportar números fraudulentos que alimente bloqueos coordinados entre operadores.</w:t>
      </w:r>
    </w:p>
    <w:p>
      <w:pPr>
        <w:pStyle w:val="Heading2"/>
      </w:pPr>
      <w:r>
        <w:t>II. Objeto</w:t>
      </w:r>
    </w:p>
    <w:p>
      <w:pPr>
        <w:jc w:val="both"/>
      </w:pPr>
      <w:r>
        <w:t>Prevenir la suplantación de identificadores telefónicos y los mensajes fraudulentos mediante autenticación, registro de remitentes y bloqueo coordinado.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El gasto público es bajo y se financia con el presupuesto del OSIPTEL. Los operadores asumen inversiones en autenticación y filtrado, que en otros mercados se han implementado de manera gradual; por ello se establecen plazos de 9 a 18 meses. El beneficio es la reducción de la superficie de ataque del fraude por ingeniería social, que afecta a usuarios de todos los niveles socioeconómicos y especialmente a adultos mayores. El registro de remitentes también protege la reputación de bancos y entidades públicas suplantadas. No se dispone de cifras oficiales del costo del fraude telefónico en el Perú, lo que el reglamento debe empezar a medir.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la Ley 32323 y el artículo 58 de la Ley 29571; complementa la Ley 28493 sobre comunicaciones no solicitadas. No modifica la Ley 30096.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2029, autenticación de identificador implementada por todos los operadores móviles; registro de remitentes operativo y reportes ciudadanos publicados trimestralmente por OSIPTEL.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Telecomunicaciones, Ciber Seguridad, Orden Público y Seguridad. ODS: 9,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32323, que modifica el artículo 58 del Código de Protección y Defensa del Consumidor (comunicaciones comerciales no solicitadas) — https://img.lpderecho.pe/wp-content/uploads/2025/05/LEY-32323-LpDrecho.pdf</w:t>
      </w:r>
    </w:p>
    <w:p>
      <w:pPr>
        <w:pStyle w:val="ListBullet"/>
      </w:pPr>
      <w:r>
        <w:t>Ley 29571, Código de Protección y Defensa del Consumidor — https://www.leyes.congreso.gob.pe/Documentos/Leyes/29571.pdf</w:t>
      </w:r>
    </w:p>
    <w:p>
      <w:pPr>
        <w:pStyle w:val="ListBullet"/>
      </w:pPr>
      <w:r>
        <w:t>Ley 28493, Ley que regula el uso del correo electrónico comercial no solicitado — https://www.leyes.congreso.gob.pe/Documentos/Leyes/28493.pdf</w:t>
      </w:r>
    </w:p>
    <w:p>
      <w:pPr>
        <w:pStyle w:val="ListBullet"/>
      </w:pPr>
      <w:r>
        <w:t>Ley 29733, Ley de Protección de Datos Personales — https://www.leyes.congreso.gob.pe/Documentos/Leyes/29733.pdf</w:t>
      </w:r>
    </w:p>
    <w:p>
      <w:pPr>
        <w:pStyle w:val="ListBullet"/>
      </w:pPr>
      <w:r>
        <w:t>Decreto Legislativo 1338, que crea el Registro Nacional de Equipos Terminales Móviles para la Seguridad (RENTESEG) — https://www.osiptel.gob.pe/media/2auoulvc/dl-1338.pdf</w:t>
      </w:r>
    </w:p>
    <w:p>
      <w:pPr>
        <w:pStyle w:val="ListBullet"/>
      </w:pPr>
      <w:r>
        <w:t>Estados Unidos: FCC: autenticación de identificador de llamada STIR/SHAKEN contra llamadas suplantadas — https://www.fcc.gov/call-authentication</w:t>
      </w:r>
    </w:p>
    <w:p>
      <w:pPr>
        <w:pStyle w:val="ListBullet"/>
      </w:pPr>
      <w:r>
        <w:t>Singapur: Shared Responsibility Framework for Phishing Scams (MAS e IMDA) — https://www.mas.gov.sg/news/media-releases/2023/mas-and-imda-consult-on-shared-responsibility-framework-for-phishing-scams</w:t>
      </w:r>
    </w:p>
    <w:p>
      <w:pPr>
        <w:pStyle w:val="ListBullet"/>
      </w:pPr>
      <w:r>
        <w:t>Australia: Scams Prevention Framework Act 2025 — https://www.legislation.gov.au/C2025A00015</w:t>
      </w:r>
    </w:p>
    <w:p>
      <w:pPr>
        <w:pStyle w:val="ListBullet"/>
      </w:pPr>
      <w:r>
        <w:t>CMS Grau: Promulgan ley contra llamadas y mensajes spam (Ley 32323) — https://cms.law/en/per/publication/promulgan-ley-contra-llamadas-y-mensajes-spam</w:t>
      </w:r>
    </w:p>
    <w:p>
      <w:pPr>
        <w:pStyle w:val="ListBullet"/>
      </w:pPr>
      <w:r>
        <w:t>El Peruano (02-09-2026): Ciberdelitos más denunciados en el Perú — 29 118 denuncias ene-jul 2026 según el Ministerio Público — https://elperuano.pe/noticia/303867-ciberdelitos-mas-denunciados-en-el-peru</w:t>
      </w:r>
    </w:p>
    <w:p>
      <w:pPr>
        <w:pStyle w:val="ListBullet"/>
      </w:pPr>
      <w:r>
        <w:t>gob.pe: OSIPTEL — https://www.gob.pe/osiptel</w:t>
      </w:r>
    </w:p>
    <w:p>
      <w:r>
        <w:t>Fuente: Agenda Legislativa Tech Perú 2026–2031 (https://unimauro.github.io/agenda-legislativa-tech/p/CIB-06.html),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contra la suplantación de identificadores telefónicos y mensajes fraudulentos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