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FORTALECE LA CIBERSEGURIDAD DE LOS SISTEMAS ELECTORALES MEDIANTE AUDITORÍAS INDEPENDIENTES, PRUEBAS PÚBLICAS DE SEGURIDAD Y UN EQUIPO DE RESPUESTA ELECTORAL</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FORTALECE LA CIBERSEGURIDAD DE LOS SISTEMAS ELECTORALES MEDIANTE AUDITORÍAS INDEPENDIENTES, PRUEBAS PÚBLICAS DE SEGURIDAD Y UN EQUIPO DE RESPUESTA ELECTORAL</w:t>
      </w:r>
    </w:p>
    <w:p>
      <w:pPr>
        <w:jc w:val="both"/>
      </w:pPr>
      <w:r>
        <w:rPr>
          <w:b/>
        </w:rPr>
        <w:t>Artículo 1. Objeto</w:t>
        <w:br/>
      </w:r>
      <w:r>
        <w:t>La presente ley tiene por objeto fortalecer la ciberseguridad, verificabilidad y transparencia de los sistemas informáticos empleados en los procesos electorales, de referéndum y otras consultas populares.</w:t>
      </w:r>
    </w:p>
    <w:p>
      <w:pPr>
        <w:jc w:val="both"/>
      </w:pPr>
      <w:r>
        <w:rPr>
          <w:b/>
        </w:rPr>
        <w:t>Artículo 2. Sistemas comprendidos</w:t>
        <w:br/>
      </w:r>
      <w:r>
        <w:t>Están comprendidos los sistemas de gestión del padrón electoral, cómputo y transmisión de resultados, publicación de resultados, voto electrónico presencial o no presencial, y los portales y canales digitales oficiales de los organismos del sistema electoral.</w:t>
      </w:r>
    </w:p>
    <w:p>
      <w:pPr>
        <w:jc w:val="both"/>
      </w:pPr>
      <w:r>
        <w:rPr>
          <w:b/>
        </w:rPr>
        <w:t>Artículo 3. Auditoría independiente obligatoria</w:t>
        <w:br/>
      </w:r>
      <w:r>
        <w:t>La ONPE, el Jurado Nacional de Elecciones y el RENIEC someten los sistemas comprendidos a una auditoría independiente de ciberseguridad y de código fuente con una anticipación no menor de 90 días calendario a cada elección general, regional o municipal. Las auditorías son realizadas por universidades o entidades especializadas seleccionadas mediante procedimiento público.</w:t>
      </w:r>
    </w:p>
    <w:p>
      <w:pPr>
        <w:jc w:val="both"/>
      </w:pPr>
      <w:r>
        <w:rPr>
          <w:b/>
        </w:rPr>
        <w:t>Artículo 4. Pruebas públicas de seguridad</w:t>
        <w:br/>
      </w:r>
      <w:r>
        <w:t>Antes de cada elección general, la ONPE organiza una prueba pública de seguridad en la que expertos inscritos pueden intentar vulnerar, en un entorno controlado, los sistemas que se emplearán. Los hallazgos y su corrección se publican antes del inicio del proceso.</w:t>
      </w:r>
    </w:p>
    <w:p>
      <w:pPr>
        <w:jc w:val="both"/>
      </w:pPr>
      <w:r>
        <w:rPr>
          <w:b/>
        </w:rPr>
        <w:t>Artículo 5. Transparencia</w:t>
        <w:br/>
      </w:r>
      <w:r>
        <w:t>Los informes ejecutivos de las auditorías, las versiones del software utilizadas y sus huellas criptográficas se publican en los portales institucionales. Los personeros acreditados y los observadores pueden verificar dichas huellas en los equipos de cómputo.</w:t>
      </w:r>
    </w:p>
    <w:p>
      <w:pPr>
        <w:jc w:val="both"/>
      </w:pPr>
      <w:r>
        <w:rPr>
          <w:b/>
        </w:rPr>
        <w:t>Artículo 6. Equipo de respuesta ante incidentes electorales</w:t>
        <w:br/>
      </w:r>
      <w:r>
        <w:t>Durante cada proceso electoral se constituye un equipo de respuesta ante incidentes electorales integrado por los organismos del sistema electoral y el Centro Nacional de Seguridad Digital, que monitorea, responde y comunica públicamente los incidentes relevantes.</w:t>
      </w:r>
    </w:p>
    <w:p>
      <w:pPr>
        <w:jc w:val="both"/>
      </w:pPr>
      <w:r>
        <w:rPr>
          <w:b/>
        </w:rPr>
        <w:t>Artículo 7. Protección de canales oficiales</w:t>
        <w:br/>
      </w:r>
      <w:r>
        <w:t>Los organismos electorales implementan medidas contra la suplantación de sus portales, perfiles en redes sociales y números de contacto, y coordinan con los proveedores de servicios digitales la retirada expedita de cuentas que los suplanten.</w:t>
      </w:r>
    </w:p>
    <w:p>
      <w:pPr>
        <w:jc w:val="both"/>
      </w:pPr>
      <w:r>
        <w:rPr>
          <w:b/>
        </w:rPr>
        <w:t>Artículo 8. Respaldo verificable</w:t>
        <w:br/>
      </w:r>
      <w:r>
        <w:t>Todo sistema de cómputo o voto electrónico debe permitir la verificación de sus resultados contra un respaldo físico o registro independiente auditable, conforme al reglamento que apruebe la ONPE.</w:t>
      </w:r>
    </w:p>
    <w:p>
      <w:pPr>
        <w:jc w:val="both"/>
      </w:pPr>
      <w:r>
        <w:rPr>
          <w:b/>
        </w:rPr>
        <w:t>Primera. Disposición Complementaria Final</w:t>
        <w:br/>
      </w:r>
      <w:r>
        <w:t>Reglamentación. La ONPE, el Jurado Nacional de Elecciones y el RENIEC, en el ámbito de su autonomía, adecúan sus reglamentos en un plazo no mayor de 120 días hábiles desde la entrada en vigencia de la presente ley.</w:t>
      </w:r>
    </w:p>
    <w:p>
      <w:pPr>
        <w:jc w:val="both"/>
      </w:pPr>
      <w:r>
        <w:rPr>
          <w:b/>
        </w:rPr>
        <w:t>Segunda. Disposición Complementaria Final</w:t>
        <w:br/>
      </w:r>
      <w:r>
        <w:t>Aplicación. La presente ley se aplica a los procesos electorales convocados con posterioridad a su entrada en vigencia.</w:t>
      </w:r>
    </w:p>
    <w:p>
      <w:pPr>
        <w:jc w:val="both"/>
      </w:pPr>
      <w:r>
        <w:rPr>
          <w:b/>
        </w:rPr>
        <w:t>Tercera. Disposición Complementaria Final</w:t>
        <w:br/>
      </w:r>
      <w:r>
        <w:t>Financiamiento. La implementación de la presente ley se financia con cargo al presupuesto institucional de la ONPE, el Jurado Nacional de Elecciones y el RENIEC, sin demandar recursos adicionales al Tesoro Público.</w:t>
      </w:r>
    </w:p>
    <w:p>
      <w:r>
        <w:t>Lima, ___ de __________ de 20__</w:t>
      </w:r>
    </w:p>
    <w:p>
      <w:r>
        <w:br w:type="page"/>
      </w:r>
    </w:p>
    <w:p>
      <w:pPr>
        <w:pStyle w:val="Heading1"/>
      </w:pPr>
      <w:r>
        <w:t>EXPOSICIÓN DE MOTIVOS</w:t>
      </w:r>
    </w:p>
    <w:p>
      <w:pPr>
        <w:pStyle w:val="Heading2"/>
      </w:pPr>
      <w:r>
        <w:t>I. Fundamentos y problema</w:t>
      </w:r>
    </w:p>
    <w:p>
      <w:pPr>
        <w:jc w:val="both"/>
      </w:pPr>
      <w:r>
        <w:t>La confianza en los resultados electorales depende cada vez más de sistemas informáticos: padrones, cómputo, transmisión de actas, publicación de resultados y, donde se aplica, el voto electrónico autorizado por la Ley 29603. La Ley Orgánica de la ONPE (Ley 26487) y la normativa electoral no establecen un régimen legal específico de ciberseguridad con auditorías independientes obligatorias, pruebas públicas de seguridad ni publicación de resultados de las auditorías antes de cada proceso. En contextos de alta polarización, la ausencia de verificaciones independientes y transparentes deja espacio para la desinformación sobre supuestos fraudes informáticos y para riesgos reales como ataques de denegación de servicio a portales de resultados o suplantación de canales oficiales. Las autoridades electorales de otros países trabajan con agencias de ciberseguridad (por ejemplo, el programa de seguridad electoral de la CISA en Estados Unidos) y organizan pruebas públicas en las que expertos externos intentan vulnerar los sistemas. Esta propuesta no se pronuncia sobre la extensión del voto electrónico; busca que cualquier sistema empleado sea verificable.</w:t>
      </w:r>
    </w:p>
    <w:p>
      <w:pPr>
        <w:pStyle w:val="Heading2"/>
      </w:pPr>
      <w:r>
        <w:t>II. Objeto</w:t>
      </w:r>
    </w:p>
    <w:p>
      <w:pPr>
        <w:jc w:val="both"/>
      </w:pPr>
      <w:r>
        <w:t>Establecer obligaciones de ciberseguridad, auditoría independiente y transparencia para los sistemas informáticos electorales.</w:t>
      </w:r>
    </w:p>
    <w:p>
      <w:pPr>
        <w:pStyle w:val="Heading2"/>
      </w:pPr>
      <w:r>
        <w:t>III. Análisis costo-beneficio</w:t>
      </w:r>
    </w:p>
    <w:p>
      <w:pPr>
        <w:jc w:val="both"/>
      </w:pPr>
      <w:r>
        <w:t>Gasto público bajo: las auditorías y pruebas públicas se financian con el presupuesto electoral de cada proceso, en el que representan una fracción menor del costo total. El beneficio es institucional: verificaciones independientes y públicas reducen la incertidumbre y el espacio para la desinformación sobre fraudes informáticos, y permiten corregir vulnerabilidades reales antes de cada elección. La transparencia de huellas criptográficas habilita a personeros y observadores a verificar sin depender de la palabra de la autoridad. La norma respeta la autonomía constitucional de los organismos electorales, que reglamentan su aplicación.</w:t>
      </w:r>
    </w:p>
    <w:p>
      <w:pPr>
        <w:pStyle w:val="Heading2"/>
      </w:pPr>
      <w:r>
        <w:t>IV. Efecto de la vigencia de la norma sobre la legislación nacional</w:t>
      </w:r>
    </w:p>
    <w:p>
      <w:pPr>
        <w:jc w:val="both"/>
      </w:pPr>
      <w:r>
        <w:t>Complementa la Ley 26487, la Ley 29603 y la normativa electoral vigente; no modifica la Ley Orgánica de Elecciones en materia de cómputo de votos.</w:t>
      </w:r>
    </w:p>
    <w:p>
      <w:pPr>
        <w:pStyle w:val="Heading2"/>
      </w:pPr>
      <w:r>
        <w:t>V. Antecedentes</w:t>
      </w:r>
    </w:p>
    <w:p>
      <w:pPr>
        <w:jc w:val="both"/>
      </w:pPr>
      <w:r>
        <w:t>Por verificar en SPLEY.</w:t>
      </w:r>
    </w:p>
    <w:p>
      <w:pPr>
        <w:pStyle w:val="Heading2"/>
      </w:pPr>
      <w:r>
        <w:t>VI. Indicador de éxito</w:t>
      </w:r>
    </w:p>
    <w:p>
      <w:pPr>
        <w:jc w:val="both"/>
      </w:pPr>
      <w:r>
        <w:t>Para las elecciones regionales y municipales de 2030, informes de auditoría independiente y resultados de prueba pública de seguridad publicados con al menos 60 días de anticipación.</w:t>
      </w:r>
    </w:p>
    <w:p>
      <w:pPr>
        <w:pStyle w:val="Heading2"/>
      </w:pPr>
      <w:r>
        <w:t>VII. Vinculación con la Agenda Legislativa y el Plan Perú 2050</w:t>
      </w:r>
    </w:p>
    <w:p>
      <w:r>
        <w:t>Comisiones temáticas del Plan Perú 2050: Ciber Seguridad, Institucionalidad, Ética. ODS: 16.</w:t>
      </w:r>
    </w:p>
    <w:p>
      <w:pPr>
        <w:pStyle w:val="Heading2"/>
      </w:pPr>
      <w:r>
        <w:t>VIII. Referencias</w:t>
      </w:r>
    </w:p>
    <w:p>
      <w:pPr>
        <w:pStyle w:val="ListBullet"/>
      </w:pPr>
      <w:r>
        <w:t>Ley 26487, Ley Orgánica de la Oficina Nacional de Procesos Electorales — https://www.leyes.congreso.gob.pe/Documentos/Leyes/26487.pdf</w:t>
      </w:r>
    </w:p>
    <w:p>
      <w:pPr>
        <w:pStyle w:val="ListBullet"/>
      </w:pPr>
      <w:r>
        <w:t>Ley 29603, que autoriza a la ONPE a emitir normas para la implementación gradual y progresiva del voto electrónico — https://www.leyes.congreso.gob.pe/Documentos/Leyes/29603.pdf</w:t>
      </w:r>
    </w:p>
    <w:p>
      <w:pPr>
        <w:pStyle w:val="ListBullet"/>
      </w:pPr>
      <w:r>
        <w:t>Decreto de Urgencia 007-2020, que aprueba el Marco de Confianza Digital y dispone medidas para su fortalecimiento — https://www.gob.pe/institucion/pcm/normas-legales/395322-007-2020</w:t>
      </w:r>
    </w:p>
    <w:p>
      <w:pPr>
        <w:pStyle w:val="ListBullet"/>
      </w:pPr>
      <w:r>
        <w:t>Estados Unidos: CISA: programa de seguridad electoral para autoridades electorales — https://www.cisa.gov/topics/election-security</w:t>
      </w:r>
    </w:p>
    <w:p>
      <w:pPr>
        <w:pStyle w:val="ListBullet"/>
      </w:pPr>
      <w:r>
        <w:t>Unión Europea: Directiva (UE) 2022/2555 (NIS2), medidas para un elevado nivel común de ciberseguridad — https://eur-lex.europa.eu/eli/dir/2022/2555/oj</w:t>
      </w:r>
    </w:p>
    <w:p>
      <w:pPr>
        <w:pStyle w:val="ListBullet"/>
      </w:pPr>
      <w:r>
        <w:t>gob.pe: Oficina Nacional de Procesos Electorales — https://www.gob.pe/onpe</w:t>
      </w:r>
    </w:p>
    <w:p>
      <w:pPr>
        <w:pStyle w:val="ListBullet"/>
      </w:pPr>
      <w:r>
        <w:t>gob.pe: Reportar incidentes de seguridad digital (Centro Nacional de Seguridad Digital) — https://www.gob.pe/14084-reportar-incidentes-de-seguridad-digital</w:t>
      </w:r>
    </w:p>
    <w:p>
      <w:pPr>
        <w:pStyle w:val="ListBullet"/>
      </w:pPr>
      <w:r>
        <w:t>CiberLATAM: Perú avanza con ciberseguridad sin ley general — https://ciberlatam.com/noticias/peru-avanza-ciberseguridad-ley-general</w:t>
      </w:r>
    </w:p>
    <w:p>
      <w:r>
        <w:t>Fuente: Agenda Legislativa Tech Perú 2026–2031 (https://unimauro.github.io/agenda-legislativa-tech/p/CIB-13.html),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fortalece la ciberseguridad de los sistemas electorales mediante auditorías independientes, pruebas públicas de seguridad y un equipo de respuesta electoral</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