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INVERSIÓN EN CENTROS DE DATOS SOSTENIBLES CON ENERGÍA RENOVABLE Y USO RESPONSABLE DEL AGUA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INVERSIÓN EN CENTROS DE DATOS SOSTENIBLES CON ENERGÍA RENOVABLE Y USO RESPONSABLE DEL AGUA</w:t>
      </w:r>
    </w:p>
    <w:p>
      <w:pPr>
        <w:jc w:val="both"/>
      </w:pPr>
      <w:r>
        <w:rPr>
          <w:b/>
        </w:rPr>
        <w:t>Artículo 1. Objeto</w:t>
        <w:br/>
      </w:r>
      <w:r>
        <w:t>La presente ley tiene por objeto promover la inversión en centros de datos en el territorio nacional bajo condiciones de eficiencia energética, uso de energía renovable, uso responsable del agua y transparencia.</w:t>
      </w:r>
    </w:p>
    <w:p>
      <w:pPr>
        <w:jc w:val="both"/>
      </w:pPr>
      <w:r>
        <w:rPr>
          <w:b/>
        </w:rPr>
        <w:t>Artículo 2. Declaración de interés nacional</w:t>
        <w:br/>
      </w:r>
      <w:r>
        <w:t>Declárase de interés nacional la instalación y operación de centros de datos que cumplan las condiciones de sostenibilidad establecidas en la presente ley, como infraestructura digital para la economía y el Estado.</w:t>
      </w:r>
    </w:p>
    <w:p>
      <w:pPr>
        <w:jc w:val="both"/>
      </w:pPr>
      <w:r>
        <w:rPr>
          <w:b/>
        </w:rPr>
        <w:t>Artículo 3. Registro Nacional de Centros de Datos</w:t>
        <w:br/>
      </w:r>
      <w:r>
        <w:t>3.1 Créase el Registro Nacional de Centros de Datos, a cargo del Ministerio de Transportes y Comunicaciones, en el que se inscriben los centros de datos cuya potencia instalada supere el umbral que fije el reglamento.</w:t>
        <w:br/>
        <w:t>3.2 Los inscritos reportan anualmente consumo de energía, proporción de energía renovable, eficiencia en el uso de la energía (PUE), consumo y fuente del agua, y reaprovechamiento del calor residual, información que se publica de forma agregada.</w:t>
      </w:r>
    </w:p>
    <w:p>
      <w:pPr>
        <w:jc w:val="both"/>
      </w:pPr>
      <w:r>
        <w:rPr>
          <w:b/>
        </w:rPr>
        <w:t>Artículo 4. Energía renovable</w:t>
        <w:br/>
      </w:r>
      <w:r>
        <w:t>Los centros de datos inscritos procuran abastecer progresivamente su consumo con energía de fuentes renovables mediante contratos de suministro, autogeneración o certificados, en el marco de la Ley 28832 y del Decreto Legislativo 1002. El reglamento establece metas progresivas.</w:t>
      </w:r>
    </w:p>
    <w:p>
      <w:pPr>
        <w:jc w:val="both"/>
      </w:pPr>
      <w:r>
        <w:rPr>
          <w:b/>
        </w:rPr>
        <w:t>Artículo 5. Uso del agua</w:t>
        <w:br/>
      </w:r>
      <w:r>
        <w:t>El uso de agua para refrigeración se sujeta a la Ley 29338. En cuencas declaradas en estrés hídrico por la Autoridad Nacional del Agua, se priorizan tecnologías de refrigeración de bajo consumo hídrico, uso de aguas residuales tratadas o agua de mar desalinizada, conforme al reglamento.</w:t>
      </w:r>
    </w:p>
    <w:p>
      <w:pPr>
        <w:jc w:val="both"/>
      </w:pPr>
      <w:r>
        <w:rPr>
          <w:b/>
        </w:rPr>
        <w:t>Artículo 6. Facilitación de la conexión</w:t>
        <w:br/>
      </w:r>
      <w:r>
        <w:t>El Ministerio de Energía y Minas y el Ministerio de Transportes y Comunicaciones establecen procedimientos coordinados y plazos máximos para la factibilidad de conexión eléctrica y el acceso a fibra óptica de los proyectos de centros de datos inscritos, sin que ello implique trato preferente en tarifas reguladas.</w:t>
      </w:r>
    </w:p>
    <w:p>
      <w:pPr>
        <w:jc w:val="both"/>
      </w:pPr>
      <w:r>
        <w:rPr>
          <w:b/>
        </w:rPr>
        <w:t>Artículo 7. Zonas de infraestructura digital</w:t>
        <w:br/>
      </w:r>
      <w:r>
        <w:t>Los gobiernos regionales y locales pueden identificar, en sus instrumentos de planificación territorial, zonas aptas para infraestructura digital con disponibilidad de energía, agua no apta para consumo humano y conectividad.</w:t>
      </w:r>
    </w:p>
    <w:p>
      <w:pPr>
        <w:jc w:val="both"/>
      </w:pPr>
      <w:r>
        <w:rPr>
          <w:b/>
        </w:rPr>
        <w:t>Artículo 8. Ausencia de beneficios tributarios</w:t>
        <w:br/>
      </w:r>
      <w:r>
        <w:t>La presente ley no establece exoneraciones, incentivos ni beneficios tributarios. Los proyectos pueden acceder a los regímenes generales vigentes de promoción de la inversión que les resulten aplicables.</w:t>
      </w:r>
    </w:p>
    <w:p>
      <w:pPr>
        <w:jc w:val="both"/>
      </w:pPr>
      <w:r>
        <w:rPr>
          <w:b/>
        </w:rPr>
        <w:t>Primera. Disposición Complementaria Final</w:t>
        <w:br/>
      </w:r>
      <w:r>
        <w:t>Reglamentación. El Poder Ejecutivo reglamenta la presente ley en un plazo de ciento veinte días hábiles, mediante decreto supremo refrendado por los Ministros de Transportes y Comunicaciones, de Energía y Minas, de Desarrollo Agrario y Riego y del Ambiente.</w:t>
      </w:r>
    </w:p>
    <w:p>
      <w:pPr>
        <w:jc w:val="both"/>
      </w:pPr>
      <w:r>
        <w:rPr>
          <w:b/>
        </w:rPr>
        <w:t>Segunda. Disposición Complementaria Final</w:t>
        <w:br/>
      </w:r>
      <w:r>
        <w:t>Adecuación. Los centros de datos en operación se inscriben en el Registro en un plazo de doce meses desde la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demanda de servicios en la nube, plataformas digitales e inteligencia artificial impulsa a nivel mundial la construcción de centros de datos de gran escala, que requieren energía firme, conectividad internacional y, según la tecnología de refrigeración, volúmenes relevantes de agua. El Perú no cuenta con un marco específico que oriente estas inversiones: no hay reglas de reporte de consumo energético e hídrico, ni procedimientos coordinados para conexión eléctrica, fibra y licencias. A la vez, la costa, donde se concentra la demanda, presenta estrés hídrico, por lo que el uso de agua debe sujetarse a la Ley 29338. La Unión Europea ya exige reportar el desempeño energético de los centros de datos y Singapur aplica una hoja de ruta de centros de datos verdes. Sin reglas claras, el país corre el riesgo de perder inversiones o de atraerlas sin salvaguardas ambientales.</w:t>
      </w:r>
    </w:p>
    <w:p>
      <w:pPr>
        <w:pStyle w:val="Heading2"/>
      </w:pPr>
      <w:r>
        <w:t>II. Objeto</w:t>
      </w:r>
    </w:p>
    <w:p>
      <w:pPr>
        <w:jc w:val="both"/>
      </w:pPr>
      <w:r>
        <w:t>Promover la inversión en centros de datos en el territorio nacional bajo condiciones de sostenibilidad energética e hídrica, transparencia y conectividad.</w:t>
      </w:r>
    </w:p>
    <w:p>
      <w:pPr>
        <w:pStyle w:val="Heading2"/>
      </w:pPr>
      <w:r>
        <w:t>III. Análisis costo-beneficio</w:t>
      </w:r>
    </w:p>
    <w:p>
      <w:pPr>
        <w:jc w:val="both"/>
      </w:pPr>
      <w:r>
        <w:t>La ley no otorga beneficios tributarios, por lo que su costo fiscal se limita a la gestión del registro (bajo, dentro del presupuesto del MTC). Para el Estado y la sociedad, el beneficio es atraer inversión en infraestructura digital con reglas previsibles, reducir latencia y costos de servicios en la nube para empresas y entidades públicas, y prevenir externalidades: consumo de agua en zonas con estrés hídrico y presión sobre el sistema eléctrico. Los requisitos de reporte implican un costo de cumplimiento moderado para los operadores, comparable con estándares internacionales que ya aplican en otras jurisdicciones.</w:t>
      </w:r>
    </w:p>
    <w:p>
      <w:pPr>
        <w:pStyle w:val="Heading2"/>
      </w:pPr>
      <w:r>
        <w:t>IV. Efecto de la vigencia de la norma sobre la legislación nacional</w:t>
      </w:r>
    </w:p>
    <w:p>
      <w:pPr>
        <w:jc w:val="both"/>
      </w:pPr>
      <w:r>
        <w:t>Complementa la Ley 29338, la Ley 28832, el Decreto Legislativo 1002 y la Ley 28611. No deroga normas.</w:t>
      </w:r>
    </w:p>
    <w:p>
      <w:pPr>
        <w:pStyle w:val="Heading2"/>
      </w:pPr>
      <w:r>
        <w:t>V. Antecedentes</w:t>
      </w:r>
    </w:p>
    <w:p>
      <w:pPr>
        <w:jc w:val="both"/>
      </w:pPr>
      <w:r>
        <w:t>Por verificar en SPLEY.</w:t>
      </w:r>
    </w:p>
    <w:p>
      <w:pPr>
        <w:pStyle w:val="Heading2"/>
      </w:pPr>
      <w:r>
        <w:t>VI. Indicador de éxito</w:t>
      </w:r>
    </w:p>
    <w:p>
      <w:pPr>
        <w:jc w:val="both"/>
      </w:pPr>
      <w:r>
        <w:t>Registro Nacional de Centros de Datos operativo a 2028, con reporte público anual de PUE, energía renovable y consumo de agua del 100 % de los centros sobre el umbral.</w:t>
      </w:r>
    </w:p>
    <w:p>
      <w:pPr>
        <w:pStyle w:val="Heading2"/>
      </w:pPr>
      <w:r>
        <w:t>VII. Vinculación con la Agenda Legislativa y el Plan Perú 2050</w:t>
      </w:r>
    </w:p>
    <w:p>
      <w:r>
        <w:t>Comisiones temáticas del Plan Perú 2050: Perú en La Era Digital, Energía Eléctrica, Promoción de La Inversión. ODS: 7, 9.</w:t>
      </w:r>
    </w:p>
    <w:p>
      <w:pPr>
        <w:pStyle w:val="Heading2"/>
      </w:pPr>
      <w:r>
        <w:t>VIII. Referencias</w:t>
      </w:r>
    </w:p>
    <w:p>
      <w:pPr>
        <w:pStyle w:val="ListBullet"/>
      </w:pPr>
      <w:r>
        <w:t>Ley 29338, Ley de Recursos Hídricos — https://leyes.congreso.gob.pe/Documentos/Leyes/29338.pdf</w:t>
      </w:r>
    </w:p>
    <w:p>
      <w:pPr>
        <w:pStyle w:val="ListBullet"/>
      </w:pPr>
      <w:r>
        <w:t>Ley 28832, Ley para asegurar el desarrollo eficiente de la generación eléctrica — https://leyes.congreso.gob.pe/Documentos/Leyes/28832.pdf</w:t>
      </w:r>
    </w:p>
    <w:p>
      <w:pPr>
        <w:pStyle w:val="ListBullet"/>
      </w:pPr>
      <w:r>
        <w:t>Decreto Legislativo 1002, de promoción de la inversión para la generación de electricidad con el uso de energías renovables — https://leyes.congreso.gob.pe/Documentos/DecretosLegislativos/01002.pdf</w:t>
      </w:r>
    </w:p>
    <w:p>
      <w:pPr>
        <w:pStyle w:val="ListBullet"/>
      </w:pPr>
      <w:r>
        <w:t>Ley 28611, Ley General del Ambiente — https://leyes.congreso.gob.pe/Documentos/Leyes/28611.pdf</w:t>
      </w:r>
    </w:p>
    <w:p>
      <w:pPr>
        <w:pStyle w:val="ListBullet"/>
      </w:pPr>
      <w:r>
        <w:t>Unión Europea: Directiva de Eficiencia Energética: régimen de reporte del desempeño energético de centros de datos — https://energy.ec.europa.eu/topics/energy-efficiency/energy-efficiency-targets-directive-and-rules/energy-efficiency-directive/energy-performance-data-centres_en</w:t>
      </w:r>
    </w:p>
    <w:p>
      <w:pPr>
        <w:pStyle w:val="ListBullet"/>
      </w:pPr>
      <w:r>
        <w:t>Singapur: Green Data Centre Roadmap (IMDA) — https://www.imda.gov.sg/how-we-can-help/green-dc-roadmap</w:t>
      </w:r>
    </w:p>
    <w:p>
      <w:pPr>
        <w:pStyle w:val="ListBullet"/>
      </w:pPr>
      <w:r>
        <w:t>Ministerio de Transportes y Comunicaciones — https://www.gob.pe/mtc</w:t>
      </w:r>
    </w:p>
    <w:p>
      <w:pPr>
        <w:pStyle w:val="ListBullet"/>
      </w:pPr>
      <w:r>
        <w:t>PeeringDB, base de datos de interconexión (IXP y centros de datos) — https://www.peeringdb.com/</w:t>
      </w:r>
    </w:p>
    <w:p>
      <w:r>
        <w:t>Fuente: Agenda Legislativa Tech Perú 2026–2031 (https://unimauro.github.io/agenda-legislativa-tech/p/CON-10.html),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inversión en centros de datos sostenibles con energía renovable y uso responsable del agua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