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t>PROYECTO DE LEY N.° ____/2026-CR</w:t>
      </w:r>
    </w:p>
    <w:p>
      <w:pPr>
        <w:pStyle w:val="Heading1"/>
      </w:pPr>
      <w:r>
        <w:t>LEY QUE MODIFICA LA LEY 29440 PARA PROMOVER EL ACCESO ABIERTO, LA INTEROPERABILIDAD Y LA TRANSPARENCIA DE COMISIONES EN LOS SERVICIOS DE PAGO MINORISTAS</w:t>
      </w:r>
    </w:p>
    <w:p>
      <w:r>
        <w:t>El/la congresista que suscribe, ______________________, en ejercicio del derecho de iniciativa legislativa que le confiere el artículo 107 de la Constitución Política del Perú, presenta la siguiente propuesta legislativa:</w:t>
      </w:r>
    </w:p>
    <w:p>
      <w:pPr>
        <w:jc w:val="center"/>
      </w:pPr>
      <w:r>
        <w:rPr>
          <w:b/>
        </w:rPr>
        <w:t>FÓRMULA LEGAL</w:t>
        <w:br/>
      </w:r>
      <w:r>
        <w:t>EL CONGRESO DE LA REPÚBLICA</w:t>
        <w:br/>
        <w:t>Ha dado la Ley siguiente:</w:t>
        <w:br/>
      </w:r>
      <w:r>
        <w:rPr>
          <w:b/>
        </w:rPr>
        <w:t>LEY QUE MODIFICA LA LEY 29440 PARA PROMOVER EL ACCESO ABIERTO, LA INTEROPERABILIDAD Y LA TRANSPARENCIA DE COMISIONES EN LOS SERVICIOS DE PAGO MINORISTAS</w:t>
      </w:r>
    </w:p>
    <w:p>
      <w:pPr>
        <w:jc w:val="both"/>
      </w:pPr>
      <w:r>
        <w:rPr>
          <w:b/>
        </w:rPr>
        <w:t>Artículo 1. Objeto</w:t>
        <w:br/>
      </w:r>
      <w:r>
        <w:t>La presente ley tiene por objeto modificar la Ley 29440, Ley de los Sistemas de Pagos y de Liquidación de Valores, para incorporar principios que promuevan la competencia, el acceso abierto, la interoperabilidad y la transparencia en los servicios de pago minoristas.</w:t>
      </w:r>
    </w:p>
    <w:p>
      <w:pPr>
        <w:jc w:val="both"/>
      </w:pPr>
      <w:r>
        <w:rPr>
          <w:b/>
        </w:rPr>
        <w:t>Artículo 2. Incorporación de principios</w:t>
        <w:br/>
      </w:r>
      <w:r>
        <w:t>Incorpórase en la Ley 29440 un artículo con el siguiente texto: "Principios de los servicios de pago minoristas. La regulación de los servicios de pago minoristas se orienta por los principios de: a) interoperabilidad entre proveedores de cuentas y de dinero electrónico; b) acceso no discriminatorio y proporcional al riesgo de proveedores no bancarios a las infraestructuras de pago; c) neutralidad tecnológica; d) seguridad y gestión de riesgos; y e) transparencia de precios para usuarios y comercios. El Banco Central de Reserva del Perú desarrolla estos principios en ejercicio de sus atribuciones constitucionales."</w:t>
      </w:r>
    </w:p>
    <w:p>
      <w:pPr>
        <w:jc w:val="both"/>
      </w:pPr>
      <w:r>
        <w:rPr>
          <w:b/>
        </w:rPr>
        <w:t>Artículo 3. Iniciación de pagos</w:t>
        <w:br/>
      </w:r>
      <w:r>
        <w:t>Incorpórase en la Ley 29440 un artículo con el siguiente texto: "Servicio de iniciación de pagos. Es el servicio que permite, a solicitud y con autorización expresa del pagador, ordenar un pago desde su cuenta mantenida en otro proveedor. El Banco Central de Reserva del Perú establece los requisitos para prestar este servicio y para que los proveedores de cuentas permitan el acceso, en condiciones seguras y no discriminatorias."</w:t>
      </w:r>
    </w:p>
    <w:p>
      <w:pPr>
        <w:jc w:val="both"/>
      </w:pPr>
      <w:r>
        <w:rPr>
          <w:b/>
        </w:rPr>
        <w:t>Artículo 4. Transparencia de comisiones a comercios</w:t>
        <w:br/>
      </w:r>
      <w:r>
        <w:t>Los adquirentes, facilitadores de pago y proveedores de pagos con código QR publican en su portal institucional, en formato comparable, las comisiones y cargos totales que cobran a los comercios por tipo de instrumento de pago y segmento de comercio. El Banco Central de Reserva del Perú consolida y publica periódicamente dicha información.</w:t>
      </w:r>
    </w:p>
    <w:p>
      <w:pPr>
        <w:jc w:val="both"/>
      </w:pPr>
      <w:r>
        <w:rPr>
          <w:b/>
        </w:rPr>
        <w:t>Artículo 5. Portabilidad del comercio</w:t>
        <w:br/>
      </w:r>
      <w:r>
        <w:t>Los contratos de afiliación de comercios a servicios de aceptación de pagos no pueden contener cláusulas de exclusividad que impidan aceptar instrumentos de otros proveedores, ni penalidades desproporcionadas por resolución anticipada, conforme a lo que establezca el Banco Central de Reserva del Perú.</w:t>
      </w:r>
    </w:p>
    <w:p>
      <w:pPr>
        <w:jc w:val="both"/>
      </w:pPr>
      <w:r>
        <w:rPr>
          <w:b/>
        </w:rPr>
        <w:t>Artículo 6. Coordinación</w:t>
        <w:br/>
      </w:r>
      <w:r>
        <w:t>El Banco Central de Reserva del Perú, la SBS y el INDECOPI coordinan sus actuaciones en materia de pagos minoristas, finanzas abiertas y protección del consumidor, mediante convenio de cooperación.</w:t>
      </w:r>
    </w:p>
    <w:p>
      <w:pPr>
        <w:jc w:val="both"/>
      </w:pPr>
      <w:r>
        <w:rPr>
          <w:b/>
        </w:rPr>
        <w:t>Artículo 7. Financiamiento</w:t>
        <w:br/>
      </w:r>
      <w:r>
        <w:t>La aplicación de la presente ley se financia con cargo al presupuesto institucional de las entidades involucradas, sin demandar recursos adicionales al Tesoro Público.</w:t>
      </w:r>
    </w:p>
    <w:p>
      <w:pPr>
        <w:jc w:val="both"/>
      </w:pPr>
      <w:r>
        <w:rPr>
          <w:b/>
        </w:rPr>
        <w:t>Primera. Disposición Complementaria Final</w:t>
        <w:br/>
      </w:r>
      <w:r>
        <w:t>El Banco Central de Reserva del Perú adecúa su normativa a la presente ley en el plazo que estime pertinente en ejercicio de su autonomía, informando a la comisión competente del Congreso dentro del primer año de vigencia.</w:t>
      </w:r>
    </w:p>
    <w:p>
      <w:pPr>
        <w:jc w:val="both"/>
      </w:pPr>
      <w:r>
        <w:rPr>
          <w:b/>
        </w:rPr>
        <w:t>Segunda. Disposición Complementaria Final</w:t>
        <w:br/>
      </w:r>
      <w:r>
        <w:t>La obligación del artículo 4 es exigible a los ciento ochenta días calendario de la entrada en vigencia de la presente ley.</w:t>
      </w:r>
    </w:p>
    <w:p>
      <w:r>
        <w:t>Lima, ___ de __________ de 20__</w:t>
      </w:r>
    </w:p>
    <w:p>
      <w:r>
        <w:br w:type="page"/>
      </w:r>
    </w:p>
    <w:p>
      <w:pPr>
        <w:pStyle w:val="Heading1"/>
      </w:pPr>
      <w:r>
        <w:t>EXPOSICIÓN DE MOTIVOS</w:t>
      </w:r>
    </w:p>
    <w:p>
      <w:pPr>
        <w:pStyle w:val="Heading2"/>
      </w:pPr>
      <w:r>
        <w:t>I. Fundamentos y problema</w:t>
      </w:r>
    </w:p>
    <w:p>
      <w:pPr>
        <w:jc w:val="both"/>
      </w:pPr>
      <w:r>
        <w:t>Por regulación del Banco Central de Reserva del Perú (Circular 0024-2022-BCRP, Reglamento de Interoperabilidad de los Servicios de Pago) las principales billeteras digitales del país ya interoperan: según la revista Moneda del BCRP, la fase 3, que conectó cuentas de depósito con cuentas de dinero electrónico, inició en diciembre de 2023, y una fase 4 que permitiría el ingreso de fintech y otros proveedores mediante iniciación de pagos se encontraba en diseño. Este avance descansa en la potestad reglamentaria del BCRP. La Ley 29440 regula los sistemas de pagos, pero no consagra expresamente los principios de acceso no discriminatorio de nuevos proveedores a las infraestructuras ni la iniciación de pagos como servicio, lo que puede generar incertidumbre en la transición. Para los comercios, especialmente MYPE, las comisiones por aceptar pagos digitales (tarjetas, QR) no siempre son comparables, lo que dificulta elegir proveedor. La Directiva europea PSD2 y la Ley Fintec chilena dieron rango legal a la iniciación de pagos y al acceso de terceros. Una modificación acotada de la Ley 29440 daría estabilidad a la política del BCRP sin interferir en su autonomía.</w:t>
      </w:r>
    </w:p>
    <w:p>
      <w:pPr>
        <w:pStyle w:val="Heading2"/>
      </w:pPr>
      <w:r>
        <w:t>II. Objeto</w:t>
      </w:r>
    </w:p>
    <w:p>
      <w:pPr>
        <w:jc w:val="both"/>
      </w:pPr>
      <w:r>
        <w:t>Incorporar en la Ley 29440 principios de acceso, interoperabilidad, iniciación de pagos y transparencia de comisiones en pagos minoristas.</w:t>
      </w:r>
    </w:p>
    <w:p>
      <w:pPr>
        <w:pStyle w:val="Heading2"/>
      </w:pPr>
      <w:r>
        <w:t>III. Análisis costo-beneficio</w:t>
      </w:r>
    </w:p>
    <w:p>
      <w:pPr>
        <w:jc w:val="both"/>
      </w:pPr>
      <w:r>
        <w:t>No genera gasto público. Los costos recaen en los proveedores de pagos (publicación de tarifas, adecuación técnica para la iniciación de pagos), compensados por la ampliación del mercado. Los beneficios son mayor competencia en comisiones a comercios, menores costos de aceptación para MYPE y entrada de nuevos proveedores. La ley es deferente con la autonomía del BCRP (art. 84 de la Constitución): fija principios y deja el desarrollo técnico y el calendario al Banco Central, de modo que consolida, sin sustituir, su política de interoperabilidad.</w:t>
      </w:r>
    </w:p>
    <w:p>
      <w:pPr>
        <w:pStyle w:val="Heading2"/>
      </w:pPr>
      <w:r>
        <w:t>IV. Efecto de la vigencia de la norma sobre la legislación nacional</w:t>
      </w:r>
    </w:p>
    <w:p>
      <w:pPr>
        <w:jc w:val="both"/>
      </w:pPr>
      <w:r>
        <w:t>Modifica la Ley 29440 mediante la incorporación de artículos. Complementa la Circular 0024-2022-BCRP. No deroga normas.</w:t>
      </w:r>
    </w:p>
    <w:p>
      <w:pPr>
        <w:pStyle w:val="Heading2"/>
      </w:pPr>
      <w:r>
        <w:t>V. Antecedentes</w:t>
      </w:r>
    </w:p>
    <w:p>
      <w:pPr>
        <w:jc w:val="both"/>
      </w:pPr>
      <w:r>
        <w:t>Por verificar en SPLEY.</w:t>
      </w:r>
    </w:p>
    <w:p>
      <w:pPr>
        <w:pStyle w:val="Heading2"/>
      </w:pPr>
      <w:r>
        <w:t>VI. Indicador de éxito</w:t>
      </w:r>
    </w:p>
    <w:p>
      <w:pPr>
        <w:jc w:val="both"/>
      </w:pPr>
      <w:r>
        <w:t>Al 2031, publicación periódica por el BCRP de comisiones comparables a comercios y servicio de iniciación de pagos regulado y operativo con proveedores no bancarios.</w:t>
      </w:r>
    </w:p>
    <w:p>
      <w:pPr>
        <w:pStyle w:val="Heading2"/>
      </w:pPr>
      <w:r>
        <w:t>VII. Vinculación con la Agenda Legislativa y el Plan Perú 2050</w:t>
      </w:r>
    </w:p>
    <w:p>
      <w:r>
        <w:t>Comisiones temáticas del Plan Perú 2050: Banca, Mipymes, Transformación Digital. ODS: 8, 10.</w:t>
      </w:r>
    </w:p>
    <w:p>
      <w:pPr>
        <w:pStyle w:val="Heading2"/>
      </w:pPr>
      <w:r>
        <w:t>VIII. Referencias</w:t>
      </w:r>
    </w:p>
    <w:p>
      <w:pPr>
        <w:pStyle w:val="ListBullet"/>
      </w:pPr>
      <w:r>
        <w:t>Ley 29440, Ley de los Sistemas de Pagos y de Liquidación de Valores — https://www.leyes.congreso.gob.pe/Documentos/Leyes/29440.pdf</w:t>
      </w:r>
    </w:p>
    <w:p>
      <w:pPr>
        <w:pStyle w:val="ListBullet"/>
      </w:pPr>
      <w:r>
        <w:t>Circular 0024-2022-BCRP, Reglamento de Interoperabilidad de los Servicios de Pago — https://www.bcrp.gob.pe/docs/Transparencia/Normas-Legales/Circulares/2022/circular-0024-2022-bcrp.pdf</w:t>
      </w:r>
    </w:p>
    <w:p>
      <w:pPr>
        <w:pStyle w:val="ListBullet"/>
      </w:pPr>
      <w:r>
        <w:t>Ley 29571, Código de Protección y Defensa del Consumidor — https://www.leyes.congreso.gob.pe/Documentos/Leyes/29571.pdf</w:t>
      </w:r>
    </w:p>
    <w:p>
      <w:pPr>
        <w:pStyle w:val="ListBullet"/>
      </w:pPr>
      <w:r>
        <w:t>Unión Europea: Directiva (UE) 2015/2366 sobre servicios de pago (PSD2), acceso a cuentas e iniciación de pagos — https://eur-lex.europa.eu/eli/dir/2015/2366/oj</w:t>
      </w:r>
    </w:p>
    <w:p>
      <w:pPr>
        <w:pStyle w:val="ListBullet"/>
      </w:pPr>
      <w:r>
        <w:t>Chile: Ley 21.521 (Ley Fintec), incluye sistema de finanzas abiertas y financiamiento colectivo — https://bcn.cl/3ayrx</w:t>
      </w:r>
    </w:p>
    <w:p>
      <w:pPr>
        <w:pStyle w:val="ListBullet"/>
      </w:pPr>
      <w:r>
        <w:t>BCRP, Revista Moneda 202 — Interoperabilidad de los pagos minoristas en el Perú — https://www.bcrp.gob.pe/docs/Publicaciones/Revista-Moneda/moneda-202/moneda-202-04.pdf</w:t>
      </w:r>
    </w:p>
    <w:p>
      <w:pPr>
        <w:pStyle w:val="ListBullet"/>
      </w:pPr>
      <w:r>
        <w:t>BCRP — Reporte de Estabilidad Financiera mayo 2023, recuadro sobre interoperabilidad — https://www.bcrp.gob.pe/docs/Publicaciones/Reporte-Estabilidad-Financiera/2023/mayo/ref-mayo-2023-recuadro-6.pdf</w:t>
      </w:r>
    </w:p>
    <w:p>
      <w:pPr>
        <w:pStyle w:val="ListBullet"/>
      </w:pPr>
      <w:r>
        <w:t>BCRP — Sistema de pagos — https://www.bcrp.gob.pe/sistema-de-pagos.html</w:t>
      </w:r>
    </w:p>
    <w:p>
      <w:r>
        <w:t>Fuente: Agenda Legislativa Tech Perú 2026–2031 (https://unimauro.github.io/agenda-legislativa-tech/p/ECO-07.html), propuesta ciudadana CC BY 4.0.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Ley que modifica la Ley 29440 para promover el acceso abierto, la interoperabilidad y la transparencia de comisiones en los servicios de pago minoristas</dc:title>
  <dc:subject/>
  <dc:creator>Agenda Legislativa Tech Perú</dc:creator>
  <cp:keywords/>
  <dc:description>generated by python-docx</dc:description>
  <cp:lastModifiedBy/>
  <cp:revision>1</cp:revision>
  <dcterms:created xsi:type="dcterms:W3CDTF">2013-12-23T23:15:00Z</dcterms:created>
  <dcterms:modified xsi:type="dcterms:W3CDTF">2013-12-23T23:15:00Z</dcterms:modified>
  <cp:category/>
</cp:coreProperties>
</file>