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ESTABLECE EL MARCO DE REGISTRO, CONDUCTA Y PROTECCIÓN DEL USUARIO APLICABLE A LOS PROVEEDORES DE SERVICIOS DE ACTIVOS VIRTUALES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ESTABLECE EL MARCO DE REGISTRO, CONDUCTA Y PROTECCIÓN DEL USUARIO APLICABLE A LOS PROVEEDORES DE SERVICIOS DE ACTIVOS VIRTUALES</w:t>
      </w:r>
    </w:p>
    <w:p>
      <w:pPr>
        <w:jc w:val="both"/>
      </w:pPr>
      <w:r>
        <w:rPr>
          <w:b/>
        </w:rPr>
        <w:t>Artículo 1. Objeto</w:t>
        <w:br/>
      </w:r>
      <w:r>
        <w:t>La presente ley tiene por objeto establecer el régimen de registro, conducta de mercado, custodia y protección del usuario aplicable a los proveedores de servicios de activos virtuales que operan en el país o se dirigen a usuarios en el país.</w:t>
      </w:r>
    </w:p>
    <w:p>
      <w:pPr>
        <w:jc w:val="both"/>
      </w:pPr>
      <w:r>
        <w:rPr>
          <w:b/>
        </w:rPr>
        <w:t>Artículo 2. Definiciones</w:t>
        <w:br/>
      </w:r>
      <w:r>
        <w:t>Para efectos de la presente ley, se entiende por activo virtual la representación digital de valor que puede ser comercializada o transferida digitalmente y utilizada con fines de pago o inversión, excluyendo las representaciones digitales de moneda de curso legal y de valores mobiliarios, que se rigen por sus normas especiales. Se entiende por proveedor de servicios de activos virtuales (PSAV) a la persona que, como negocio, realiza actividades de intercambio, transferencia, custodia o administración de activos virtuales, o servicios financieros vinculados a su oferta, conforme a la definición recogida en la normativa de prevención de LA/FT vigente.</w:t>
      </w:r>
    </w:p>
    <w:p>
      <w:pPr>
        <w:jc w:val="both"/>
      </w:pPr>
      <w:r>
        <w:rPr>
          <w:b/>
        </w:rPr>
        <w:t>Artículo 3. Registro habilitante</w:t>
        <w:br/>
      </w:r>
      <w:r>
        <w:t>Los PSAV deben inscribirse en un registro a cargo de la SBS como condición para operar. La inscripción exige acreditar constitución como persona jurídica domiciliada o sucursal, idoneidad de accionistas y directores, sistemas de gestión de riesgos y de seguridad de la información, y cumplimiento del régimen de prevención de LA/FT. La SBS puede denegar, suspender o cancelar la inscripción.</w:t>
      </w:r>
    </w:p>
    <w:p>
      <w:pPr>
        <w:jc w:val="both"/>
      </w:pPr>
      <w:r>
        <w:rPr>
          <w:b/>
        </w:rPr>
        <w:t>Artículo 4. Custodia y segregación</w:t>
        <w:br/>
      </w:r>
      <w:r>
        <w:t>Los activos virtuales y fondos en moneda de curso legal de los clientes constituyen patrimonio separado del PSAV, no forman parte de su masa concursal y no pueden ser utilizados por este para fines propios sin autorización expresa del cliente. El PSAV mantiene registros que permitan identificar en todo momento los activos de cada cliente.</w:t>
      </w:r>
    </w:p>
    <w:p>
      <w:pPr>
        <w:jc w:val="both"/>
      </w:pPr>
      <w:r>
        <w:rPr>
          <w:b/>
        </w:rPr>
        <w:t>Artículo 5. Requisitos prudenciales</w:t>
        <w:br/>
      </w:r>
      <w:r>
        <w:t>La SBS establece requisitos de capital mínimo o garantías proporcionales al tipo y volumen de servicios, así como planes de continuidad operativa y de liquidación ordenada.</w:t>
      </w:r>
    </w:p>
    <w:p>
      <w:pPr>
        <w:jc w:val="both"/>
      </w:pPr>
      <w:r>
        <w:rPr>
          <w:b/>
        </w:rPr>
        <w:t>Artículo 6. Información al usuario</w:t>
        <w:br/>
      </w:r>
      <w:r>
        <w:t>Antes de contratar, el PSAV informa de manera clara y destacada: que los activos virtuales no son moneda de curso legal ni están cubiertos por el Fondo de Seguro de Depósitos; los riesgos de pérdida total; las comisiones totales; y los conflictos de interés. Esta información se proporciona en un formato estandarizado aprobado por la SBS.</w:t>
      </w:r>
    </w:p>
    <w:p>
      <w:pPr>
        <w:jc w:val="both"/>
      </w:pPr>
      <w:r>
        <w:rPr>
          <w:b/>
        </w:rPr>
        <w:t>Artículo 7. Publicidad</w:t>
        <w:br/>
      </w:r>
      <w:r>
        <w:t>La publicidad de servicios de activos virtuales debe ser veraz, incluir advertencias de riesgo y no presentar rentabilidades garantizadas. El INDECOPI fiscaliza la publicidad conforme al Código de Protección y Defensa del Consumidor y el Decreto Legislativo 1044, en coordinación con la SBS.</w:t>
      </w:r>
    </w:p>
    <w:p>
      <w:pPr>
        <w:jc w:val="both"/>
      </w:pPr>
      <w:r>
        <w:rPr>
          <w:b/>
        </w:rPr>
        <w:t>Artículo 8. Coordinación con la SMV</w:t>
        <w:br/>
      </w:r>
      <w:r>
        <w:t>Cuando un activo virtual tenga características de valor mobiliario, se rige por la normativa del mercado de valores bajo competencia de la Superintendencia del Mercado de Valores. La SBS y la SMV establecen mediante convenio criterios comunes de calificación.</w:t>
      </w:r>
    </w:p>
    <w:p>
      <w:pPr>
        <w:jc w:val="both"/>
      </w:pPr>
      <w:r>
        <w:rPr>
          <w:b/>
        </w:rPr>
        <w:t>Artículo 9. Infracciones y sanciones</w:t>
        <w:br/>
      </w:r>
      <w:r>
        <w:t>El incumplimiento de la presente ley constituye infracción sancionable por la SBS conforme a su régimen sancionador, sin perjuicio de las competencias del INDECOPI y de la UIF-Perú.</w:t>
      </w:r>
    </w:p>
    <w:p>
      <w:pPr>
        <w:jc w:val="both"/>
      </w:pPr>
      <w:r>
        <w:rPr>
          <w:b/>
        </w:rPr>
        <w:t>Artículo 10. Financiamiento</w:t>
        <w:br/>
      </w:r>
      <w:r>
        <w:t>La implementación de la presente ley se financia con cargo al presupuesto institucional de la SBS, sin demandar recursos adicionales al Tesoro Público.</w:t>
      </w:r>
    </w:p>
    <w:p>
      <w:pPr>
        <w:jc w:val="both"/>
      </w:pPr>
      <w:r>
        <w:rPr>
          <w:b/>
        </w:rPr>
        <w:t>Primera. Disposición Complementaria Final</w:t>
        <w:br/>
      </w:r>
      <w:r>
        <w:t>La SBS reglamenta la presente ley en un plazo de ciento ochenta días hábiles.</w:t>
      </w:r>
    </w:p>
    <w:p>
      <w:pPr>
        <w:jc w:val="both"/>
      </w:pPr>
      <w:r>
        <w:rPr>
          <w:b/>
        </w:rPr>
        <w:t>Segunda. Disposición Complementaria Final</w:t>
        <w:br/>
      </w:r>
      <w:r>
        <w:t>Los PSAV que a la entrada en vigencia de la presente ley se encuentren operando tienen un plazo de doce meses desde la publicación del reglamento para inscribirse en el registro.</w:t>
      </w:r>
    </w:p>
    <w:p>
      <w:pPr>
        <w:jc w:val="both"/>
      </w:pPr>
      <w:r>
        <w:rPr>
          <w:b/>
        </w:rPr>
        <w:t>Tercera. Disposición Complementaria Final</w:t>
        <w:br/>
      </w:r>
      <w:r>
        <w:t>Nada de lo dispuesto en la presente ley otorga a los activos virtuales la calidad de moneda de curso legal ni modifica las atribuciones del Banco Central de Reserva del Perú.</w:t>
      </w:r>
    </w:p>
    <w:p>
      <w:r>
        <w:t>Lima, ___ de __________ de 20__</w:t>
      </w:r>
    </w:p>
    <w:p>
      <w:r>
        <w:br w:type="page"/>
      </w:r>
    </w:p>
    <w:p>
      <w:pPr>
        <w:pStyle w:val="Heading1"/>
      </w:pPr>
      <w:r>
        <w:t>EXPOSICIÓN DE MOTIVOS</w:t>
      </w:r>
    </w:p>
    <w:p>
      <w:pPr>
        <w:pStyle w:val="Heading2"/>
      </w:pPr>
      <w:r>
        <w:t>I. Fundamentos y problema</w:t>
      </w:r>
    </w:p>
    <w:p>
      <w:pPr>
        <w:jc w:val="both"/>
      </w:pPr>
      <w:r>
        <w:t>El Decreto Supremo 006-2023-JUS incorporó a los proveedores de servicios de activos virtuales (PSAV) como sujetos obligados a informar a la UIF-Perú, y la Resolución SBS 02648-2024 aprobó la norma de prevención del lavado de activos y del financiamiento del terrorismo aplicable a ellos. Según comentaristas especializados, esta norma no regula la tecnología subyacente ni la conducta de mercado frente al usuario: su finalidad es la prevención de delitos financieros. En consecuencia, no existe un régimen legal que exija a los PSAV custodiar y segregar los activos de sus clientes, mantener capital mínimo o informar de manera estandarizada sobre riesgos, comisiones y conflictos de interés. Cuando una plataforma quiebra o sufre un incidente, los usuarios carecen de reglas claras sobre la propiedad de sus activos. Tampoco existen reglas específicas de publicidad de activos virtuales, frecuentemente orientada a pequeños ahorristas. La Unión Europea (Reglamento MiCA), Brasil (Ley 14.478/2022) y Chile (Ley 21.521) ya cuentan con marcos legales que van más allá de la prevención de lavado de activos. Los activos virtuales no son moneda de curso legal en el Perú y esta ley no lo modifica.</w:t>
      </w:r>
    </w:p>
    <w:p>
      <w:pPr>
        <w:pStyle w:val="Heading2"/>
      </w:pPr>
      <w:r>
        <w:t>II. Objeto</w:t>
      </w:r>
    </w:p>
    <w:p>
      <w:pPr>
        <w:jc w:val="both"/>
      </w:pPr>
      <w:r>
        <w:t>Establecer un régimen legal de registro, conducta de mercado y protección del usuario para los PSAV, complementario al régimen de prevención de LA/FT.</w:t>
      </w:r>
    </w:p>
    <w:p>
      <w:pPr>
        <w:pStyle w:val="Heading2"/>
      </w:pPr>
      <w:r>
        <w:t>III. Análisis costo-beneficio</w:t>
      </w:r>
    </w:p>
    <w:p>
      <w:pPr>
        <w:jc w:val="both"/>
      </w:pPr>
      <w:r>
        <w:t>No genera gasto público; la SBS financia la supervisión con contribuciones de supervisados, pudiendo incluir a los PSAV registrados. Los costos de cumplimiento (capital, custodia, auditoría) recaen en los PSAV y pueden reducir el número de operadores pequeños, efecto aceptable frente al beneficio de proteger el patrimonio de los usuarios en caso de quiebra o fraude interno. La ley reduce la incertidumbre jurídica para operadores serios y facilita su relación con bancos, que hoy enfrentan riesgos reputacionales. Se evita sobrerregulación al excluir valores mobiliarios y moneda de curso legal.</w:t>
      </w:r>
    </w:p>
    <w:p>
      <w:pPr>
        <w:pStyle w:val="Heading2"/>
      </w:pPr>
      <w:r>
        <w:t>IV. Efecto de la vigencia de la norma sobre la legislación nacional</w:t>
      </w:r>
    </w:p>
    <w:p>
      <w:pPr>
        <w:jc w:val="both"/>
      </w:pPr>
      <w:r>
        <w:t>Complementa el Decreto Supremo 006-2023-JUS y la Resolución SBS 02648-2024, el Código de Protección y Defensa del Consumidor y el Decreto Legislativo 1044. No deroga normas.</w:t>
      </w:r>
    </w:p>
    <w:p>
      <w:pPr>
        <w:pStyle w:val="Heading2"/>
      </w:pPr>
      <w:r>
        <w:t>V. Antecedentes</w:t>
      </w:r>
    </w:p>
    <w:p>
      <w:pPr>
        <w:jc w:val="both"/>
      </w:pPr>
      <w:r>
        <w:t>Por verificar en SPLEY.</w:t>
      </w:r>
    </w:p>
    <w:p>
      <w:pPr>
        <w:pStyle w:val="Heading2"/>
      </w:pPr>
      <w:r>
        <w:t>VI. Indicador de éxito</w:t>
      </w:r>
    </w:p>
    <w:p>
      <w:pPr>
        <w:jc w:val="both"/>
      </w:pPr>
      <w:r>
        <w:t>Al 2031, registro público de PSAV de la SBS operativo, con 100% de los PSAV registrados aplicando segregación de activos de clientes verificada por la SBS.</w:t>
      </w:r>
    </w:p>
    <w:p>
      <w:pPr>
        <w:pStyle w:val="Heading2"/>
      </w:pPr>
      <w:r>
        <w:t>VII. Vinculación con la Agenda Legislativa y el Plan Perú 2050</w:t>
      </w:r>
    </w:p>
    <w:p>
      <w:r>
        <w:t>Comisiones temáticas del Plan Perú 2050: Banca, Transformación Digital. ODS: 8, 16.</w:t>
      </w:r>
    </w:p>
    <w:p>
      <w:pPr>
        <w:pStyle w:val="Heading2"/>
      </w:pPr>
      <w:r>
        <w:t>VIII. Referencias</w:t>
      </w:r>
    </w:p>
    <w:p>
      <w:pPr>
        <w:pStyle w:val="ListBullet"/>
      </w:pPr>
      <w:r>
        <w:t>Decreto Supremo 006-2023-JUS (incorpora a los PSAV como sujetos obligados ante la UIF-Perú) — https://www.cuatrecasas.com/es/latam/financiero/art/aprueban-norma-splaft-proveedores-servicios-activos-virtuales</w:t>
      </w:r>
    </w:p>
    <w:p>
      <w:pPr>
        <w:pStyle w:val="ListBullet"/>
      </w:pPr>
      <w:r>
        <w:t>Resolución SBS 02648-2024, Norma para la prevención del LA/FT aplicable a los proveedores de servicios de activos virtuales — https://img.lpderecho.pe/wp-content/uploads/2024/08/Resolucion-SBS-02648-2024-LPDerecho.pdf</w:t>
      </w:r>
    </w:p>
    <w:p>
      <w:pPr>
        <w:pStyle w:val="ListBullet"/>
      </w:pPr>
      <w:r>
        <w:t>Ley 29571, Código de Protección y Defensa del Consumidor — https://www.leyes.congreso.gob.pe/Documentos/Leyes/29571.pdf</w:t>
      </w:r>
    </w:p>
    <w:p>
      <w:pPr>
        <w:pStyle w:val="ListBullet"/>
      </w:pPr>
      <w:r>
        <w:t>Unión Europea: Reglamento (UE) 2023/1114 relativo a los mercados de criptoactivos (MiCA) — https://eur-lex.europa.eu/eli/reg/2023/1114/oj</w:t>
      </w:r>
    </w:p>
    <w:p>
      <w:pPr>
        <w:pStyle w:val="ListBullet"/>
      </w:pPr>
      <w:r>
        <w:t>Brasil: Lei 14.478/2022, prestadores de serviços de ativos virtuais — https://www.planalto.gov.br/ccivil_03/_ato2019-2022/2022/lei/l14478.htm</w:t>
      </w:r>
    </w:p>
    <w:p>
      <w:pPr>
        <w:pStyle w:val="ListBullet"/>
      </w:pPr>
      <w:r>
        <w:t>Chile: Ley 21.521 (Ley Fintec), incluye sistema de finanzas abiertas y financiamiento colectivo — https://bcn.cl/3ayrx</w:t>
      </w:r>
    </w:p>
    <w:p>
      <w:pPr>
        <w:pStyle w:val="ListBullet"/>
      </w:pPr>
      <w:r>
        <w:t>SBS — Nota de prensa sobre la norma SPLAFT para PSAV (Res. SBS 02648-2024) — https://www.sbs.gob.pe/noticia/detallenoticia/idnoticia/3754</w:t>
      </w:r>
    </w:p>
    <w:p>
      <w:pPr>
        <w:pStyle w:val="ListBullet"/>
      </w:pPr>
      <w:r>
        <w:t>Resolución SBS 02648-2024 (texto, vía LP Derecho) — https://img.lpderecho.pe/wp-content/uploads/2024/08/Resolucion-SBS-02648-2024-LPDerecho.pdf</w:t>
      </w:r>
    </w:p>
    <w:p>
      <w:pPr>
        <w:pStyle w:val="ListBullet"/>
      </w:pPr>
      <w:r>
        <w:t>Cuatrecasas — Aprueban norma SPLAFT para PSAV — https://www.cuatrecasas.com/es/latam/financiero/art/aprueban-norma-splaft-proveedores-servicios-activos-virtuales</w:t>
      </w:r>
    </w:p>
    <w:p>
      <w:r>
        <w:t>Fuente: Agenda Legislativa Tech Perú 2026–2031 (https://unimauro.github.io/agenda-legislativa-tech/p/ECO-08.html),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establece el marco de registro, conducta y protección del usuario aplicable a los proveedores de servicios de activos virtuales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