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FACILITA LA EXPORTACIÓN DE SERVICIOS DIGITALES Y DE SOFTWARE MEDIANTE LA SIMPLIFICACIÓN DE REQUISITOS DEL IMPUESTO GENERAL A LAS VENTAS Y LA DEVOLUCIÓN OPORTUNA DEL SALDO A FAVOR DEL EXPORTADOR</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FACILITA LA EXPORTACIÓN DE SERVICIOS DIGITALES Y DE SOFTWARE MEDIANTE LA SIMPLIFICACIÓN DE REQUISITOS DEL IMPUESTO GENERAL A LAS VENTAS Y LA DEVOLUCIÓN OPORTUNA DEL SALDO A FAVOR DEL EXPORTADOR</w:t>
      </w:r>
    </w:p>
    <w:p>
      <w:pPr>
        <w:jc w:val="both"/>
      </w:pPr>
      <w:r>
        <w:rPr>
          <w:b/>
        </w:rPr>
        <w:t>Artículo 1. Objeto</w:t>
        <w:br/>
      </w:r>
      <w:r>
        <w:t>La presente ley tiene por objeto facilitar la exportación de servicios digitales y de software, otorgando certeza jurídica sobre su calificación como exportación para efectos del Impuesto General a las Ventas y agilizando la devolución del saldo a favor del exportador.</w:t>
      </w:r>
    </w:p>
    <w:p>
      <w:pPr>
        <w:jc w:val="both"/>
      </w:pPr>
      <w:r>
        <w:rPr>
          <w:b/>
        </w:rPr>
        <w:t>Artículo 2. Servicios digitales exportados</w:t>
        <w:br/>
      </w:r>
      <w:r>
        <w:t>Incorpórase un párrafo en el artículo 33 del Texto Único Ordenado de la Ley del IGV e ISC, en los siguientes términos: "Tratándose de servicios digitales, de desarrollo de software, procesamiento de datos y similares prestados íntegramente por medios electrónicos a un usuario no domiciliado, se presume, salvo prueba en contrario, que el uso, explotación o aprovechamiento tiene lugar en el extranjero cuando el usuario no tenga establecimiento permanente en el país y la contraprestación se pague desde el exterior. El reglamento establece los documentos que sustentan esta presunción."</w:t>
      </w:r>
    </w:p>
    <w:p>
      <w:pPr>
        <w:jc w:val="both"/>
      </w:pPr>
      <w:r>
        <w:rPr>
          <w:b/>
        </w:rPr>
        <w:t>Artículo 3. Inscripción automática</w:t>
        <w:br/>
      </w:r>
      <w:r>
        <w:t>La inscripción en el Registro de Exportadores de Servicios se efectúa de manera automática, en línea, al momento en que el contribuyente lo solicite a través de la plataforma de la SUNAT, sin perjuicio de la fiscalización posterior.</w:t>
      </w:r>
    </w:p>
    <w:p>
      <w:pPr>
        <w:jc w:val="both"/>
      </w:pPr>
      <w:r>
        <w:rPr>
          <w:b/>
        </w:rPr>
        <w:t>Artículo 4. Devolución del saldo a favor del exportador</w:t>
        <w:br/>
      </w:r>
      <w:r>
        <w:t>Las solicitudes de devolución del saldo a favor del exportador presentadas por exportadores de servicios cuyos ingresos netos anuales no superen 1,700 UIT se resuelven en un plazo máximo de quince días hábiles cuando el contribuyente cuente con comprobantes electrónicos y no tenga deuda exigible. La SUNAT puede efectuar la verificación con posterioridad a la devolución.</w:t>
      </w:r>
    </w:p>
    <w:p>
      <w:pPr>
        <w:jc w:val="both"/>
      </w:pPr>
      <w:r>
        <w:rPr>
          <w:b/>
        </w:rPr>
        <w:t>Artículo 5. Comprobantes electrónicos</w:t>
        <w:br/>
      </w:r>
      <w:r>
        <w:t>Los comprobantes de pago electrónicos emitidos por operaciones de exportación de servicios incorporan los datos que permitan a la SUNAT verificar automáticamente el cumplimiento de los requisitos del artículo 33 del TUO de la Ley del IGV e ISC.</w:t>
      </w:r>
    </w:p>
    <w:p>
      <w:pPr>
        <w:jc w:val="both"/>
      </w:pPr>
      <w:r>
        <w:rPr>
          <w:b/>
        </w:rPr>
        <w:t>Artículo 6. Información</w:t>
        <w:br/>
      </w:r>
      <w:r>
        <w:t>La SUNAT y PROMPERÚ publican anualmente estadísticas de exportación de servicios por tipo de servicio, tamaño de empresa y región, en formato de datos abiertos, respetando la reserva tributaria.</w:t>
      </w:r>
    </w:p>
    <w:p>
      <w:pPr>
        <w:jc w:val="both"/>
      </w:pPr>
      <w:r>
        <w:rPr>
          <w:b/>
        </w:rPr>
        <w:t>Artículo 7. Financiamiento</w:t>
        <w:br/>
      </w:r>
      <w:r>
        <w:t>La implementación de la presente ley se financia con cargo al presupuesto institucional de la SUNAT y de PROMPERÚ, sin demandar recursos adicionales al Tesoro Público.</w:t>
      </w:r>
    </w:p>
    <w:p>
      <w:pPr>
        <w:jc w:val="both"/>
      </w:pPr>
      <w:r>
        <w:rPr>
          <w:b/>
        </w:rPr>
        <w:t>Primera. Disposición Complementaria Final</w:t>
        <w:br/>
      </w:r>
      <w:r>
        <w:t>El Ministerio de Economía y Finanzas adecúa el Reglamento de la Ley del IGV e ISC en un plazo de noventa días hábiles.</w:t>
      </w:r>
    </w:p>
    <w:p>
      <w:pPr>
        <w:jc w:val="both"/>
      </w:pPr>
      <w:r>
        <w:rPr>
          <w:b/>
        </w:rPr>
        <w:t>Segunda. Disposición Complementaria Final</w:t>
        <w:br/>
      </w:r>
      <w:r>
        <w:t>Antes de la aprobación de la presente ley se solicita el informe previo del Ministerio de Economía y Finanzas conforme al artículo 79 de la Constitución, considerando que la medida no crea exoneraciones sino que precisa el ámbito de la exportación de servicios.</w:t>
      </w:r>
    </w:p>
    <w:p>
      <w:r>
        <w:t>Lima, ___ de __________ de 20__</w:t>
      </w:r>
    </w:p>
    <w:p>
      <w:r>
        <w:br w:type="page"/>
      </w:r>
    </w:p>
    <w:p>
      <w:pPr>
        <w:pStyle w:val="Heading1"/>
      </w:pPr>
      <w:r>
        <w:t>EXPOSICIÓN DE MOTIVOS</w:t>
      </w:r>
    </w:p>
    <w:p>
      <w:pPr>
        <w:pStyle w:val="Heading2"/>
      </w:pPr>
      <w:r>
        <w:t>I. Fundamentos y problema</w:t>
      </w:r>
    </w:p>
    <w:p>
      <w:pPr>
        <w:jc w:val="both"/>
      </w:pPr>
      <w:r>
        <w:t>Desde la Ley 30641 (vigente desde setiembre de 2017), la exportación de servicios dejó de ser una lista cerrada (se derogó el Apéndice V de la Ley del IGV) y se rige por requisitos concurrentes del artículo 33 de la Ley del IGV: prestación a título oneroso desde el país hacia el exterior, usuario no domiciliado, uso o aprovechamiento en el extranjero y registro previo en el Registro de Exportadores de Servicios de la SUNAT. En la práctica, para empresas de software, diseño, desarrollo de videojuegos, analítica de datos o servicios en la nube, acreditar que el servicio se aprovecha íntegramente en el extranjero es complejo cuando el servicio es remoto y el cliente tiene presencia global, y los informes de la SUNAT muestran controversias interpretativas recurrentes. Ello genera riesgo de que se exija IGV sobre servicios que compiten en mercados internacionales sin ese costo, y retrasos en la devolución del saldo a favor del exportador, que afecta la liquidez de MIPYME tecnológicas. El Plan Perú 2050 plantea elevar las exportaciones de alta tecnología y señala a la economía creativa y los servicios digitales como sectores de especialización.</w:t>
      </w:r>
    </w:p>
    <w:p>
      <w:pPr>
        <w:pStyle w:val="Heading2"/>
      </w:pPr>
      <w:r>
        <w:t>II. Objeto</w:t>
      </w:r>
    </w:p>
    <w:p>
      <w:pPr>
        <w:jc w:val="both"/>
      </w:pPr>
      <w:r>
        <w:t>Dar certeza a la calificación como exportación de los servicios digitales y agilizar la devolución del saldo a favor del exportador, sin crear nuevas exoneraciones.</w:t>
      </w:r>
    </w:p>
    <w:p>
      <w:pPr>
        <w:pStyle w:val="Heading2"/>
      </w:pPr>
      <w:r>
        <w:t>III. Análisis costo-beneficio</w:t>
      </w:r>
    </w:p>
    <w:p>
      <w:pPr>
        <w:jc w:val="both"/>
      </w:pPr>
      <w:r>
        <w:t>La medida no crea exoneraciones: la exportación de servicios ya no está gravada con IGV y el exportador ya tiene derecho al saldo a favor. Su efecto fiscal se limita a un posible adelanto en el tiempo de devoluciones, acotado a MIPYME con comprobantes electrónicos y sin deuda. Podría existir un costo recaudatorio si la presunción se aplica a servicios que hoy la SUNAT considera aprovechados en el país; por ello admite prueba en contrario y requiere informe previo del MEF. Los beneficios son menor riesgo tributario y mejor liquidez para exportadores de software y servicios digitales, sector señalado como prioritario por el Plan Perú 2050.</w:t>
      </w:r>
    </w:p>
    <w:p>
      <w:pPr>
        <w:pStyle w:val="Heading2"/>
      </w:pPr>
      <w:r>
        <w:t>IV. Efecto de la vigencia de la norma sobre la legislación nacional</w:t>
      </w:r>
    </w:p>
    <w:p>
      <w:pPr>
        <w:jc w:val="both"/>
      </w:pPr>
      <w:r>
        <w:t>Modifica el artículo 33 del TUO de la Ley del IGV e ISC (en la redacción dada por la Ley 30641). Complementa el reglamento de la Ley del IGV.</w:t>
      </w:r>
    </w:p>
    <w:p>
      <w:pPr>
        <w:pStyle w:val="Heading2"/>
      </w:pPr>
      <w:r>
        <w:t>V. Antecedentes</w:t>
      </w:r>
    </w:p>
    <w:p>
      <w:pPr>
        <w:jc w:val="both"/>
      </w:pPr>
      <w:r>
        <w:t>Ley 30641 (2017) reformó la exportación de servicios; otros proyectos por verificar en SPLEY.</w:t>
      </w:r>
    </w:p>
    <w:p>
      <w:pPr>
        <w:pStyle w:val="Heading2"/>
      </w:pPr>
      <w:r>
        <w:t>VI. Indicador de éxito</w:t>
      </w:r>
    </w:p>
    <w:p>
      <w:pPr>
        <w:jc w:val="both"/>
      </w:pPr>
      <w:r>
        <w:t>Al 2031, estadística anual de exportación de servicios digitales publicada en datos abiertos y plazo promedio de devolución a MIPYME exportadoras de servicios no mayor de 15 días hábiles.</w:t>
      </w:r>
    </w:p>
    <w:p>
      <w:pPr>
        <w:pStyle w:val="Heading2"/>
      </w:pPr>
      <w:r>
        <w:t>VII. Vinculación con la Agenda Legislativa y el Plan Perú 2050</w:t>
      </w:r>
    </w:p>
    <w:p>
      <w:r>
        <w:t>Comisiones temáticas del Plan Perú 2050: Comercio Exterior E Inserción en El Mercado Externo, Capital Del Conocimiento, Competitividad. ODS: 8, 9, 17.</w:t>
      </w:r>
    </w:p>
    <w:p>
      <w:pPr>
        <w:pStyle w:val="Heading2"/>
      </w:pPr>
      <w:r>
        <w:t>VIII. Referencias</w:t>
      </w:r>
    </w:p>
    <w:p>
      <w:pPr>
        <w:pStyle w:val="ListBullet"/>
      </w:pPr>
      <w:r>
        <w:t>TUO de la Ley del IGV e ISC (D.S. 055-99-EF) — https://www.sunat.gob.pe/legislacion/igv/ley/index.html</w:t>
      </w:r>
    </w:p>
    <w:p>
      <w:pPr>
        <w:pStyle w:val="ListBullet"/>
      </w:pPr>
      <w:r>
        <w:t>Ley 30641, Ley que fomenta la exportación de servicios y el turismo (modifica el art. 33 de la Ley del IGV) — https://www.leyes.congreso.gob.pe/Documentos/2016_2021/ADLP/Normas_Legales/30641-LEY.pdf</w:t>
      </w:r>
    </w:p>
    <w:p>
      <w:pPr>
        <w:pStyle w:val="ListBullet"/>
      </w:pPr>
      <w:r>
        <w:t>TUO del Código Tributario (D.S. 133-2013-EF), incluida la Norma VII del Título Preliminar y el art. 85 (reserva tributaria) — https://www.sunat.gob.pe/legislacion/codigo/</w:t>
      </w:r>
    </w:p>
    <w:p>
      <w:pPr>
        <w:pStyle w:val="ListBullet"/>
      </w:pPr>
      <w:r>
        <w:t>Argentina: Ley 27.506, Régimen de Promoción de la Economía del Conocimiento — https://www.argentina.gob.ar/normativa/nacional/ley-27506-2019-324101/texto</w:t>
      </w:r>
    </w:p>
    <w:p>
      <w:pPr>
        <w:pStyle w:val="ListBullet"/>
      </w:pPr>
      <w:r>
        <w:t>Garrigues — Perú: Ley que fomenta la exportación de servicios y el turismo — https://www.garrigues.com/es_ES/noticia/peru-ley-que-fomenta-la-exportacion-de-servicios-y-el-turismo</w:t>
      </w:r>
    </w:p>
    <w:p>
      <w:pPr>
        <w:pStyle w:val="ListBullet"/>
      </w:pPr>
      <w:r>
        <w:t>Ley 30641 (texto oficial, Congreso) — https://www.leyes.congreso.gob.pe/Documentos/2016_2021/ADLP/Normas_Legales/30641-LEY.pdf</w:t>
      </w:r>
    </w:p>
    <w:p>
      <w:pPr>
        <w:pStyle w:val="ListBullet"/>
      </w:pPr>
      <w:r>
        <w:t>SUNAT — TUO de la Ley del IGV e ISC — https://www.sunat.gob.pe/legislacion/igv/ley/index.html</w:t>
      </w:r>
    </w:p>
    <w:p>
      <w:r>
        <w:t>Fuente: Agenda Legislativa Tech Perú 2026–2031 (https://unimauro.github.io/agenda-legislativa-tech/p/ECO-12.html),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facilita la exportación de servicios digitales y de software mediante la simplificación de requisitos del Impuesto General a las Ventas y la devolución oportuna del saldo a favor del exportador</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