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FORTALECE LA COMPRA PÚBLICA DE INNOVACIÓN Y CREA LOS RETOS GOVTECH DEL ESTADO, MODIFICANDO LA LEY 32069, LEY GENERAL DE CONTRATACIONES PÚBLICAS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FORTALECE LA COMPRA PÚBLICA DE INNOVACIÓN Y CREA LOS RETOS GOVTECH DEL ESTADO, MODIFICANDO LA LEY 32069, LEY GENERAL DE CONTRATACIONES PÚBLICAS</w:t>
      </w:r>
    </w:p>
    <w:p>
      <w:pPr>
        <w:jc w:val="both"/>
      </w:pPr>
      <w:r>
        <w:rPr>
          <w:b/>
        </w:rPr>
        <w:t>Artículo 1. Objeto</w:t>
        <w:br/>
      </w:r>
      <w:r>
        <w:t>La presente ley tiene por objeto fortalecer la compra pública de innovación regulada en el artículo 38 de la Ley 32069, Ley General de Contrataciones Públicas, y crear los retos GovTech del Estado como mecanismo para identificar soluciones tecnológicas a problemas públicos.</w:t>
      </w:r>
    </w:p>
    <w:p>
      <w:pPr>
        <w:jc w:val="both"/>
      </w:pPr>
      <w:r>
        <w:rPr>
          <w:b/>
        </w:rPr>
        <w:t>Artículo 2. Fases de la compra pública de innovación</w:t>
        <w:br/>
      </w:r>
      <w:r>
        <w:t>2.1 La compra pública de innovación puede comprender una fase precomercial y una fase comercial.</w:t>
        <w:br/>
        <w:t>2.2 En la fase precomercial la entidad contrata servicios de investigación y desarrollo por etapas sucesivas (diseño, prototipo y piloto), con al menos dos proveedores en competencia en la etapa inicial, cuando el mercado lo permita.</w:t>
        <w:br/>
        <w:t>2.3 En la fase comercial la entidad puede contratar el suministro a escala de la solución validada con el proveedor que superó con éxito el piloto, siempre que dicha posibilidad haya sido prevista en las bases de la fase precomercial.</w:t>
      </w:r>
    </w:p>
    <w:p>
      <w:pPr>
        <w:jc w:val="both"/>
      </w:pPr>
      <w:r>
        <w:rPr>
          <w:b/>
        </w:rPr>
        <w:t>Artículo 3. Retos GovTech</w:t>
        <w:br/>
      </w:r>
      <w:r>
        <w:t>3.1 Las entidades pueden convocar retos GovTech, que consisten en la publicación de un problema público, con indicadores de resultado, para que personas naturales o jurídicas propongan soluciones.</w:t>
        <w:br/>
        <w:t>3.2 Las propuestas seleccionadas pueden recibir un contrato de prueba de concepto de bajo monto y plazo no mayor a seis (6) meses, conforme a los topes que establezca el reglamento.</w:t>
        <w:br/>
        <w:t>3.3 La convocatoria, los criterios de evaluación, los resultados y los informes de las pruebas de concepto se publican en la plataforma del Sistema Electrónico de Contrataciones del Estado.</w:t>
      </w:r>
    </w:p>
    <w:p>
      <w:pPr>
        <w:jc w:val="both"/>
      </w:pPr>
      <w:r>
        <w:rPr>
          <w:b/>
        </w:rPr>
        <w:t>Artículo 4. Propiedad intelectual</w:t>
        <w:br/>
      </w:r>
      <w:r>
        <w:t>4.1 Salvo pacto distinto debidamente motivado, el proveedor conserva la titularidad de la propiedad intelectual generada y la entidad recibe una licencia gratuita, perpetua e irrevocable de uso para fines públicos, incluida la posibilidad de sublicenciarla a otras entidades públicas.</w:t>
        <w:br/>
        <w:t>4.2 Cuando la entidad financie íntegramente el desarrollo, puede exigir la publicación del código conforme a la normativa de software público.</w:t>
      </w:r>
    </w:p>
    <w:p>
      <w:pPr>
        <w:jc w:val="both"/>
      </w:pPr>
      <w:r>
        <w:rPr>
          <w:b/>
        </w:rPr>
        <w:t>Artículo 5. Gestión del riesgo y responsabilidad</w:t>
        <w:br/>
      </w:r>
      <w:r>
        <w:t>5.1 El hecho de que la solución no alcance los resultados esperados en la fase precomercial o en un reto GovTech no genera, por sí mismo, responsabilidad administrativa, civil o penal del funcionario, siempre que el procedimiento se haya conducido conforme a la presente ley y su reglamento y se haya documentado la evaluación de riesgos.</w:t>
        <w:br/>
        <w:t>5.2 La Contraloría General de la República considera dicha naturaleza al ejercer el control gubernamental, conforme a la Ley 27785.</w:t>
      </w:r>
    </w:p>
    <w:p>
      <w:pPr>
        <w:jc w:val="both"/>
      </w:pPr>
      <w:r>
        <w:rPr>
          <w:b/>
        </w:rPr>
        <w:t>Artículo 6. Unidad de apoyo</w:t>
        <w:br/>
      </w:r>
      <w:r>
        <w:t>El Organismo Especializado para las Contrataciones Públicas Eficientes (OECE), en coordinación con la Secretaría de Gobierno y Transformación Digital y el Consejo Nacional de Ciencia, Tecnología e Innovación, brinda asistencia técnica, aprueba modelos de bases y publica un repositorio de casos y resultados.</w:t>
      </w:r>
    </w:p>
    <w:p>
      <w:pPr>
        <w:jc w:val="both"/>
      </w:pPr>
      <w:r>
        <w:rPr>
          <w:b/>
        </w:rPr>
        <w:t>Artículo 7. Transparencia y evaluación</w:t>
        <w:br/>
      </w:r>
      <w:r>
        <w:t>Las entidades publican, al término de cada fase, un informe de resultados con indicadores, costos y lecciones aprendidas. El OECE publica anualmente en formato abierto el número, monto y resultados de las compras públicas de innovación y retos GovTech.</w:t>
      </w:r>
    </w:p>
    <w:p>
      <w:pPr>
        <w:jc w:val="both"/>
      </w:pPr>
      <w:r>
        <w:rPr>
          <w:b/>
        </w:rPr>
        <w:t>Artículo 8. Incorporación en la Ley 32069</w:t>
        <w:br/>
      </w:r>
      <w:r>
        <w:t>Incorpórase el numeral 38.4 al artículo 38 de la Ley 32069, con el texto siguiente: "38.4 La compra pública de innovación comprende una fase precomercial y una fase comercial, y puede convocarse bajo la modalidad de retos GovTech, conforme a la ley de la materia."</w:t>
      </w:r>
    </w:p>
    <w:p>
      <w:pPr>
        <w:jc w:val="both"/>
      </w:pPr>
      <w:r>
        <w:rPr>
          <w:b/>
        </w:rPr>
        <w:t>Primera. Disposición Complementaria Final</w:t>
        <w:br/>
      </w:r>
      <w:r>
        <w:t>El Ministerio de Economía y Finanzas, en coordinación con la Presidencia del Consejo de Ministros, adecúa el Reglamento de la Ley 32069 en un plazo máximo de noventa (90) días hábiles.</w:t>
      </w:r>
    </w:p>
    <w:p>
      <w:pPr>
        <w:jc w:val="both"/>
      </w:pPr>
      <w:r>
        <w:rPr>
          <w:b/>
        </w:rPr>
        <w:t>Segunda. Disposición Complementaria Final</w:t>
        <w:br/>
      </w:r>
      <w:r>
        <w:t>Las contrataciones bajo la presente ley se financian con cargo al presupuesto institucional de cada entidad, sin demandar recursos adicionales al Tesoro Público. Las entidades pueden cofinanciar retos con fondos concursables de ciencia, tecnología e innovación, conforme a la normativa vigente.</w:t>
      </w:r>
    </w:p>
    <w:p>
      <w:r>
        <w:t>Lima, ___ de __________ de 20__</w:t>
      </w:r>
    </w:p>
    <w:p>
      <w:r>
        <w:br w:type="page"/>
      </w:r>
    </w:p>
    <w:p>
      <w:pPr>
        <w:pStyle w:val="Heading1"/>
      </w:pPr>
      <w:r>
        <w:t>EXPOSICIÓN DE MOTIVOS</w:t>
      </w:r>
    </w:p>
    <w:p>
      <w:pPr>
        <w:pStyle w:val="Heading2"/>
      </w:pPr>
      <w:r>
        <w:t>I. Fundamentos y problema</w:t>
      </w:r>
    </w:p>
    <w:p>
      <w:pPr>
        <w:jc w:val="both"/>
      </w:pPr>
      <w:r>
        <w:t>La Ley 32069, Ley General de Contrataciones Públicas (2024), incorporó en su artículo 38 la compra pública de innovación (CPI), permitió definir el requerimiento por objetivos o funcionalidades (numeral 46.7) y remitió al reglamento el procedimiento de selección, la titularidad de los derechos de uso y la rendición de cuentas. Es un avance importante, pero deja con rango meramente reglamentario aspectos que determinan si las entidades se atreven a usarla: la distinción entre fase precomercial (investigación, prototipo y piloto con varios proveedores en competencia) y fase comercial; la posibilidad de adjudicar la compra a escala a quien superó con éxito el piloto; el tratamiento del riesgo de fracaso, que en la cultura de control vigente suele leerse como responsabilidad del funcionario; y un mecanismo ágil de bajo monto para que startups y mipymes tecnológicas propongan soluciones a problemas públicos definidos. Sin estas reglas, la CPI tiende a quedar como figura de uso excepcional. La Unión Europea (compra precomercial), el Reino Unido (programa SBRI) y Brasil (contrato público para solución innovadora de la Lei Complementar 182/2021) ofrecen modelos probados de financiamiento por fases con competencia entre proveedores.</w:t>
      </w:r>
    </w:p>
    <w:p>
      <w:pPr>
        <w:pStyle w:val="Heading2"/>
      </w:pPr>
      <w:r>
        <w:t>II. Objeto</w:t>
      </w:r>
    </w:p>
    <w:p>
      <w:pPr>
        <w:jc w:val="both"/>
      </w:pPr>
      <w:r>
        <w:t>Desarrollar las fases precomercial y comercial de la compra pública de innovación y crear el régimen de retos GovTech, con reglas de propiedad intelectual, gestión del riesgo y escalamiento.</w:t>
      </w:r>
    </w:p>
    <w:p>
      <w:pPr>
        <w:pStyle w:val="Heading2"/>
      </w:pPr>
      <w:r>
        <w:t>III. Análisis costo-beneficio</w:t>
      </w:r>
    </w:p>
    <w:p>
      <w:pPr>
        <w:jc w:val="both"/>
      </w:pPr>
      <w:r>
        <w:t>No crea gasto nuevo: reorienta parte del gasto que las entidades ya destinan a tecnología hacia contrataciones por resultados, con montos de prueba acotados. El riesgo fiscal es el fracaso de pilotos; se mitiga con fases sucesivas que limitan la inversión antes de validar la solución. Los beneficios esperados son soluciones adaptadas a problemas públicos concretos, apertura del mercado estatal a startups y mipymes tecnológicas y menor riesgo de comprar tecnología que no funciona a escala. La protección frente a responsabilidad por fracaso documentado es clave para que los funcionarios usen la figura. Costo fiscal estimado: bajo.</w:t>
      </w:r>
    </w:p>
    <w:p>
      <w:pPr>
        <w:pStyle w:val="Heading2"/>
      </w:pPr>
      <w:r>
        <w:t>IV. Efecto de la vigencia de la norma sobre la legislación nacional</w:t>
      </w:r>
    </w:p>
    <w:p>
      <w:pPr>
        <w:jc w:val="both"/>
      </w:pPr>
      <w:r>
        <w:t>Modifica la Ley 32069 (incorpora el numeral 38.4 al artículo 38). Complementa el Reglamento aprobado por DS 009-2025-EF y la Ley 27785 en cuanto a criterios de control.</w:t>
      </w:r>
    </w:p>
    <w:p>
      <w:pPr>
        <w:pStyle w:val="Heading2"/>
      </w:pPr>
      <w:r>
        <w:t>V. Antecedentes</w:t>
      </w:r>
    </w:p>
    <w:p>
      <w:pPr>
        <w:jc w:val="both"/>
      </w:pPr>
      <w:r>
        <w:t>Por verificar en SPLEY. Antecedente normativo directo: artículo 38 de la Ley 32069 (2024).</w:t>
      </w:r>
    </w:p>
    <w:p>
      <w:pPr>
        <w:pStyle w:val="Heading2"/>
      </w:pPr>
      <w:r>
        <w:t>VI. Indicador de éxito</w:t>
      </w:r>
    </w:p>
    <w:p>
      <w:pPr>
        <w:jc w:val="both"/>
      </w:pPr>
      <w:r>
        <w:t>A 2031, al menos 100 retos GovTech o compras públicas de innovación convocados y publicados en el SEACE, con informe de resultados y al menos el 30% de los pilotos exitosos escalados en fase comercial.</w:t>
      </w:r>
    </w:p>
    <w:p>
      <w:pPr>
        <w:pStyle w:val="Heading2"/>
      </w:pPr>
      <w:r>
        <w:t>VII. Vinculación con la Agenda Legislativa y el Plan Perú 2050</w:t>
      </w:r>
    </w:p>
    <w:p>
      <w:r>
        <w:t>Comisiones temáticas del Plan Perú 2050: Innovación, Emprendimiento, Transformación Digital. ODS: 9, 8, 16.</w:t>
      </w:r>
    </w:p>
    <w:p>
      <w:pPr>
        <w:pStyle w:val="Heading2"/>
      </w:pPr>
      <w:r>
        <w:t>VIII. Referencias</w:t>
      </w:r>
    </w:p>
    <w:p>
      <w:pPr>
        <w:pStyle w:val="ListBullet"/>
      </w:pPr>
      <w:r>
        <w:t>Ley 32069, Ley General de Contrataciones Públicas, y su Reglamento aprobado por DS 009-2025-EF — https://www.gob.pe/institucion/oece/colecciones/45029-ley-n-32069-ley-general-de-contrataciones-publicas-y-su-reglamento</w:t>
      </w:r>
    </w:p>
    <w:p>
      <w:pPr>
        <w:pStyle w:val="ListBullet"/>
      </w:pPr>
      <w:r>
        <w:t>Ley 27785, Ley Orgánica del Sistema Nacional de Control y de la Contraloría General de la República — https://www.leyes.congreso.gob.pe/Documentos/Leyes/27785.pdf</w:t>
      </w:r>
    </w:p>
    <w:p>
      <w:pPr>
        <w:pStyle w:val="ListBullet"/>
      </w:pPr>
      <w:r>
        <w:t>Decreto Legislativo 1412, Decreto Legislativo que aprueba la Ley de Gobierno Digital — https://www.gob.pe/institucion/pcm/normas-legales/289706-1412</w:t>
      </w:r>
    </w:p>
    <w:p>
      <w:pPr>
        <w:pStyle w:val="ListBullet"/>
      </w:pPr>
      <w:r>
        <w:t>Unión Europea: Compra pública precomercial (Pre-Commercial Procurement) — https://digital-strategy.ec.europa.eu/en/policies/pre-commercial-procurement</w:t>
      </w:r>
    </w:p>
    <w:p>
      <w:pPr>
        <w:pStyle w:val="ListBullet"/>
      </w:pPr>
      <w:r>
        <w:t>Reino Unido: Small Business Research Initiative (SBRI), compra precomercial — https://www.gov.uk/government/collections/sbri-the-small-business-research-initiative</w:t>
      </w:r>
    </w:p>
    <w:p>
      <w:pPr>
        <w:pStyle w:val="ListBullet"/>
      </w:pPr>
      <w:r>
        <w:t>Brasil: Lei Complementar 182/2021, Marco Legal das Startups (contrato público para solución innovadora, CPSI) — https://www.planalto.gov.br/ccivil_03/leis/lcp/lcp182.htm</w:t>
      </w:r>
    </w:p>
    <w:p>
      <w:pPr>
        <w:pStyle w:val="ListBullet"/>
      </w:pPr>
      <w:r>
        <w:t>España: Ley 9/2017, de Contratos del Sector Público (asociación para la innovación) — https://www.boe.es/buscar/act.php?id=BOE-A-2017-12902</w:t>
      </w:r>
    </w:p>
    <w:p>
      <w:pPr>
        <w:pStyle w:val="ListBullet"/>
      </w:pPr>
      <w:r>
        <w:t>OECE, colección Ley 32069 y su Reglamento — https://www.gob.pe/institucion/oece/colecciones/45029-ley-n-32069-ley-general-de-contrataciones-publicas-y-su-reglamento</w:t>
      </w:r>
    </w:p>
    <w:p>
      <w:pPr>
        <w:pStyle w:val="ListBullet"/>
      </w:pPr>
      <w:r>
        <w:t>OECE, Portal de Contrataciones Abiertas de la Compra Pública del Perú — https://contratacionesabiertas.oece.gob.pe/</w:t>
      </w:r>
    </w:p>
    <w:p>
      <w:r>
        <w:t>Fuente: Agenda Legislativa Tech Perú 2026–2031 (https://unimauro.github.io/agenda-legislativa-tech/p/GOB-04.html),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fortalece la compra pública de innovación y crea los retos GovTech del Estado, modificando la Ley 32069, Ley General de Contrataciones Públicas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