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GARANTIZA EL ACCESO A SERVICIOS PÚBLICOS DIGITALES POR CANALES MÓVILES Y DE MENSAJERÍA CON ESTÁNDARES OBLIGATORIOS DE ACCESIBILIDAD Y PERTINENCIA LINGÜÍSTICA, MODIFICANDO LA LEY 28530</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GARANTIZA EL ACCESO A SERVICIOS PÚBLICOS DIGITALES POR CANALES MÓVILES Y DE MENSAJERÍA CON ESTÁNDARES OBLIGATORIOS DE ACCESIBILIDAD Y PERTINENCIA LINGÜÍSTICA, MODIFICANDO LA LEY 28530</w:t>
      </w:r>
    </w:p>
    <w:p>
      <w:pPr>
        <w:jc w:val="both"/>
      </w:pPr>
      <w:r>
        <w:rPr>
          <w:b/>
        </w:rPr>
        <w:t>Artículo 1. Objeto</w:t>
        <w:br/>
      </w:r>
      <w:r>
        <w:t>La presente ley tiene por objeto garantizar el acceso universal a los servicios públicos digitales mediante canales móviles y de mensajería instantánea, con estándares obligatorios de accesibilidad, usabilidad y pertinencia lingüística.</w:t>
      </w:r>
    </w:p>
    <w:p>
      <w:pPr>
        <w:jc w:val="both"/>
      </w:pPr>
      <w:r>
        <w:rPr>
          <w:b/>
        </w:rPr>
        <w:t>Artículo 2. Diseño móvil primero</w:t>
        <w:br/>
      </w:r>
      <w:r>
        <w:t>2.1 Los servicios digitales de las entidades públicas se diseñan para ser plenamente utilizables desde dispositivos móviles y con conexiones de baja velocidad.</w:t>
        <w:br/>
        <w:t>2.2 La Secretaría de Gobierno y Transformación Digital publica anualmente la relación de los servicios de mayor demanda por nivel de gobierno, los cuales deben estar disponibles en canal móvil.</w:t>
      </w:r>
    </w:p>
    <w:p>
      <w:pPr>
        <w:jc w:val="both"/>
      </w:pPr>
      <w:r>
        <w:rPr>
          <w:b/>
        </w:rPr>
        <w:t>Artículo 3. Canales de mensajería instantánea</w:t>
        <w:br/>
      </w:r>
      <w:r>
        <w:t>3.1 Las entidades pueden prestar servicios de información, orientación, citas, consulta de estado de trámites y notificaciones informativas a través de aplicaciones de mensajería instantánea de uso masivo, bajo los lineamientos de la Secretaría de Gobierno y Transformación Digital.</w:t>
        <w:br/>
        <w:t>3.2 El uso de estos canales respeta la neutralidad tecnológica, no sustituye la casilla electrónica para notificaciones con efectos jurídicos y se sujeta a la Ley 29733, Ley de Protección de Datos Personales.</w:t>
        <w:br/>
        <w:t>3.3 Las cuentas oficiales son verificadas y se publican en la Plataforma Digital Única del Estado Peruano (GOB.PE) para prevenir suplantaciones.</w:t>
      </w:r>
    </w:p>
    <w:p>
      <w:pPr>
        <w:jc w:val="both"/>
      </w:pPr>
      <w:r>
        <w:rPr>
          <w:b/>
        </w:rPr>
        <w:t>Artículo 4. Estándar de accesibilidad</w:t>
        <w:br/>
      </w:r>
      <w:r>
        <w:t>4.1 Los portales, aplicaciones móviles y servicios digitales de las entidades cumplen, como mínimo, el nivel AA de las Pautas de Accesibilidad para el Contenido Web (WCAG) 2.2 del World Wide Web Consortium, o la versión posterior que apruebe la Secretaría de Gobierno y Transformación Digital.</w:t>
        <w:br/>
        <w:t>4.2 Cada entidad publica una declaración de accesibilidad y un canal para reportar barreras, que deben atenderse en un plazo máximo de treinta (30) días hábiles.</w:t>
      </w:r>
    </w:p>
    <w:p>
      <w:pPr>
        <w:jc w:val="both"/>
      </w:pPr>
      <w:r>
        <w:rPr>
          <w:b/>
        </w:rPr>
        <w:t>Artículo 5. Pertinencia lingüística</w:t>
        <w:br/>
      </w:r>
      <w:r>
        <w:t>En los ámbitos donde una lengua originaria sea predominante conforme al Mapa Etnolingüístico del Perú, las entidades ofrecen la información esencial de sus servicios digitales de mayor demanda en dicha lengua, en coordinación con el Ministerio de Cultura y en el marco de la Ley 29735.</w:t>
      </w:r>
    </w:p>
    <w:p>
      <w:pPr>
        <w:jc w:val="both"/>
      </w:pPr>
      <w:r>
        <w:rPr>
          <w:b/>
        </w:rPr>
        <w:t>Artículo 6. Canal asistido y no exclusión</w:t>
        <w:br/>
      </w:r>
      <w:r>
        <w:t>La digitalización de un servicio no elimina la atención presencial o telefónica asistida. Ningún servicio público puede condicionarse exclusivamente a la tenencia de un teléfono inteligente o a una aplicación específica.</w:t>
      </w:r>
    </w:p>
    <w:p>
      <w:pPr>
        <w:jc w:val="both"/>
      </w:pPr>
      <w:r>
        <w:rPr>
          <w:b/>
        </w:rPr>
        <w:t>Artículo 7. Auditoría y seguimiento</w:t>
        <w:br/>
      </w:r>
      <w:r>
        <w:t>La Secretaría de Gobierno y Transformación Digital, en coordinación con el Consejo Nacional para la Integración de la Persona con Discapacidad, realiza auditorías muestrales de accesibilidad y publica anualmente sus resultados en formato abierto.</w:t>
      </w:r>
    </w:p>
    <w:p>
      <w:pPr>
        <w:jc w:val="both"/>
      </w:pPr>
      <w:r>
        <w:rPr>
          <w:b/>
        </w:rPr>
        <w:t>Artículo 8. Modificación de la Ley 28530</w:t>
        <w:br/>
      </w:r>
      <w:r>
        <w:t>Incorpórase una Disposición Complementaria Final a la Ley 28530, con el texto siguiente: "Estándar técnico de accesibilidad. La obligación de accesibilidad de los portales de las entidades públicas comprende sus aplicaciones móviles y canales digitales, y se verifica conforme al estándar técnico que establece la ley que garantiza el acceso a servicios públicos digitales por canales móviles."</w:t>
      </w:r>
    </w:p>
    <w:p>
      <w:pPr>
        <w:jc w:val="both"/>
      </w:pPr>
      <w:r>
        <w:rPr>
          <w:b/>
        </w:rPr>
        <w:t>Primera. Disposición Complementaria Final</w:t>
        <w:br/>
      </w:r>
      <w:r>
        <w:t>El Poder Ejecutivo reglamenta la presente ley en un plazo de noventa (90) días hábiles, con refrendo de la Presidencia del Consejo de Ministros, el Ministerio de la Mujer y Poblaciones Vulnerables y el Ministerio de Cultura.</w:t>
      </w:r>
    </w:p>
    <w:p>
      <w:pPr>
        <w:jc w:val="both"/>
      </w:pPr>
      <w:r>
        <w:rPr>
          <w:b/>
        </w:rPr>
        <w:t>Segunda. Disposición Complementaria Final</w:t>
        <w:br/>
      </w:r>
      <w:r>
        <w:t>La implementación se financia con cargo al presupuesto institucional de los pliegos, sin demandar recursos adicionales al Tesoro Público.</w:t>
      </w:r>
    </w:p>
    <w:p>
      <w:pPr>
        <w:jc w:val="both"/>
      </w:pPr>
      <w:r>
        <w:rPr>
          <w:b/>
        </w:rPr>
        <w:t>Primera. Disposición Complementaria Transitoria</w:t>
        <w:br/>
      </w:r>
      <w:r>
        <w:t>Las entidades adecúan sus portales y aplicaciones existentes al estándar del artículo 4 en un plazo de veinticuatro (24) meses para el Poder Ejecutivo y de treinta y seis (36) meses para los gobiernos regionales y locales. Los nuevos desarrollos lo cumplen desde la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 forma predominante de acceso a Internet en el Perú es el teléfono móvil, especialmente en zonas rurales y en hogares de menores ingresos, donde la conexión fija sigue siendo minoritaria (25,0% de hogares rurales con Internet en el primer trimestre de 2026, según el INEI). Sin embargo, muchos servicios públicos digitales están diseñados para computadoras de escritorio, requieren formularios extensos o adjuntar archivos, y no funcionan bien en pantallas pequeñas o con conexiones de baja velocidad. En materia de accesibilidad, la Ley 28530 (2005) obliga a que los portales de las entidades sean accesibles para personas con discapacidad, y el DS 029-2021-PCM incluye la accesibilidad como característica de los servicios digitales, pero no existe una referencia legal a un estándar técnico verificable (como las pautas WCAG del W3C), ni obligación de auditoría, ni cobertura expresa de aplicaciones móviles y canales de mensajería. Tampoco se ha articulado con la Ley 29735 de lenguas originarias, pese a que millones de peruanos tienen una lengua materna distinta del castellano. La Unión Europea (Directiva 2016/2102) y España (RD 1112/2018) exigen accesibilidad verificable de sitios web y aplicaciones públicas con auditorías y declaraciones de accesibilidad.</w:t>
      </w:r>
    </w:p>
    <w:p>
      <w:pPr>
        <w:pStyle w:val="Heading2"/>
      </w:pPr>
      <w:r>
        <w:t>II. Objeto</w:t>
      </w:r>
    </w:p>
    <w:p>
      <w:pPr>
        <w:jc w:val="both"/>
      </w:pPr>
      <w:r>
        <w:t>Garantizar que los servicios públicos digitales sean accesibles por canales móviles y de mensajería, cumplan estándares verificables de accesibilidad y pertinencia lingüística, y no excluyan a quienes no usan canales digitales.</w:t>
      </w:r>
    </w:p>
    <w:p>
      <w:pPr>
        <w:pStyle w:val="Heading2"/>
      </w:pPr>
      <w:r>
        <w:t>III. Análisis costo-beneficio</w:t>
      </w:r>
    </w:p>
    <w:p>
      <w:pPr>
        <w:jc w:val="both"/>
      </w:pPr>
      <w:r>
        <w:t>La adecuación de portales y aplicaciones a WCAG 2.2 AA tiene un costo moderado si se incorpora en el diseño, y mayor si se corrige a posteriori; por eso se exige de inmediato para nuevos desarrollos y gradualmente para los existentes. La plataforma GOB.PE, que concentra gran parte de los contenidos del Poder Ejecutivo, permite economías de escala. Beneficios: inclusión de personas con discapacidad, adultos mayores, poblaciones rurales y hablantes de lenguas originarias; mayor uso efectivo de los servicios digitales y menor demanda presencial. La verificación de cuentas oficiales reduce estafas por suplantación del Estado. Costo fiscal estimado: bajo.</w:t>
      </w:r>
    </w:p>
    <w:p>
      <w:pPr>
        <w:pStyle w:val="Heading2"/>
      </w:pPr>
      <w:r>
        <w:t>IV. Efecto de la vigencia de la norma sobre la legislación nacional</w:t>
      </w:r>
    </w:p>
    <w:p>
      <w:pPr>
        <w:jc w:val="both"/>
      </w:pPr>
      <w:r>
        <w:t>Modifica la Ley 28530 (incorpora una disposición complementaria final). Complementa el Decreto Legislativo 1412, la Ley 29973 y la Ley 29735.</w:t>
      </w:r>
    </w:p>
    <w:p>
      <w:pPr>
        <w:pStyle w:val="Heading2"/>
      </w:pPr>
      <w:r>
        <w:t>V. Antecedentes</w:t>
      </w:r>
    </w:p>
    <w:p>
      <w:pPr>
        <w:jc w:val="both"/>
      </w:pPr>
      <w:r>
        <w:t>Por verificar en SPLEY.</w:t>
      </w:r>
    </w:p>
    <w:p>
      <w:pPr>
        <w:pStyle w:val="Heading2"/>
      </w:pPr>
      <w:r>
        <w:t>VI. Indicador de éxito</w:t>
      </w:r>
    </w:p>
    <w:p>
      <w:pPr>
        <w:jc w:val="both"/>
      </w:pPr>
      <w:r>
        <w:t>A 2031, el 100% de los 50 servicios digitales de mayor demanda del Poder Ejecutivo cumplen WCAG 2.2 AA según auditoría publicada, y al menos 20 de ellos cuentan con información esencial en quechua y aimara.</w:t>
      </w:r>
    </w:p>
    <w:p>
      <w:pPr>
        <w:pStyle w:val="Heading2"/>
      </w:pPr>
      <w:r>
        <w:t>VII. Vinculación con la Agenda Legislativa y el Plan Perú 2050</w:t>
      </w:r>
    </w:p>
    <w:p>
      <w:r>
        <w:t>Comisiones temáticas del Plan Perú 2050: Transformación Digital, Cohesión Social, Perú en La Era Digital. ODS: 10, 16, 9.</w:t>
      </w:r>
    </w:p>
    <w:p>
      <w:pPr>
        <w:pStyle w:val="Heading2"/>
      </w:pPr>
      <w:r>
        <w:t>VIII. Referencias</w:t>
      </w:r>
    </w:p>
    <w:p>
      <w:pPr>
        <w:pStyle w:val="ListBullet"/>
      </w:pPr>
      <w:r>
        <w:t>Ley 28530, Ley de promoción de acceso a Internet para personas con discapacidad y de adecuación del espacio físico en cabinas públicas de Internet — https://www.leyes.congreso.gob.pe/Documentos/Leyes/28530.pdf</w:t>
      </w:r>
    </w:p>
    <w:p>
      <w:pPr>
        <w:pStyle w:val="ListBullet"/>
      </w:pPr>
      <w:r>
        <w:t>Ley 29973, Ley General de la Persona con Discapacidad — https://www.leyes.congreso.gob.pe/Documentos/Leyes/29973.pdf</w:t>
      </w:r>
    </w:p>
    <w:p>
      <w:pPr>
        <w:pStyle w:val="ListBullet"/>
      </w:pPr>
      <w:r>
        <w:t>Ley 29735, Ley que regula el uso, preservación, desarrollo, recuperación, fomento y difusión de las lenguas originarias del Perú — https://www.leyes.congreso.gob.pe/Documentos/Leyes/29735.pdf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Unión Europea: Directiva (UE) 2016/2102, sobre accesibilidad de sitios web y aplicaciones móviles del sector público — https://digital-strategy.ec.europa.eu/en/policies/web-accessibility</w:t>
      </w:r>
    </w:p>
    <w:p>
      <w:pPr>
        <w:pStyle w:val="ListBullet"/>
      </w:pPr>
      <w:r>
        <w:t>España: Real Decreto 1112/2018, sobre accesibilidad de los sitios web y aplicaciones móviles del sector público — https://www.boe.es/buscar/act.php?id=BOE-A-2018-12699</w:t>
      </w:r>
    </w:p>
    <w:p>
      <w:pPr>
        <w:pStyle w:val="ListBullet"/>
      </w:pPr>
      <w:r>
        <w:t>Reino Unido: Government Digital Service (GDS) y Service Standard — https://www.gov.uk/service-manual/service-standard</w:t>
      </w:r>
    </w:p>
    <w:p>
      <w:pPr>
        <w:pStyle w:val="ListBullet"/>
      </w:pPr>
      <w:r>
        <w:t>W3C, Web Content Accessibility Guidelines (WCAG) 2.2 — https://www.w3.org/TR/WCAG22/</w:t>
      </w:r>
    </w:p>
    <w:p>
      <w:pPr>
        <w:pStyle w:val="ListBullet"/>
      </w:pPr>
      <w:r>
        <w:t>INEI, nota de prensa: el 62,7% de los hogares tuvo conexión a Internet en el I trimestre de 2026 — https://www.gob.pe/institucion/inei/noticias/1412359-el-62-7-de-los-hogares-del-pais-tuvo-conexion-a-internet-entre-los-meses-de-enero-y-marzo-de-2026</w:t>
      </w:r>
    </w:p>
    <w:p>
      <w:pPr>
        <w:pStyle w:val="ListBullet"/>
      </w:pPr>
      <w:r>
        <w:t>PCM, Secretaría de Gobierno y Transformación Digital (portal) — https://www.gob.pe/gobiernodigital</w:t>
      </w:r>
    </w:p>
    <w:p>
      <w:r>
        <w:t>Fuente: Agenda Legislativa Tech Perú 2026–2031 (https://unimauro.github.io/agenda-legislativa-tech/p/GOB-09.html),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garantiza el acceso a servicios públicos digitales por canales móviles y de mensajería con estándares obligatorios de accesibilidad y pertinencia lingüística, modificando la Ley 28530</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