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INCORPORA EL PENSAMIENTO COMPUTACIONAL, LA PROGRAMACIÓN Y LA ALFABETIZACIÓN EN INTELIGENCIA ARTIFICIAL EN LA EDUCACIÓN BÁSICA Y FORTALECE LA FORMACIÓN DOCENTE EN COMPETENCIAS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INCORPORA EL PENSAMIENTO COMPUTACIONAL, LA PROGRAMACIÓN Y LA ALFABETIZACIÓN EN INTELIGENCIA ARTIFICIAL EN LA EDUCACIÓN BÁSICA Y FORTALECE LA FORMACIÓN DOCENTE EN COMPETENCIAS DIGITALES</w:t>
      </w:r>
    </w:p>
    <w:p>
      <w:pPr>
        <w:jc w:val="both"/>
      </w:pPr>
      <w:r>
        <w:rPr>
          <w:b/>
        </w:rPr>
        <w:t>Artículo 1. Objeto</w:t>
        <w:br/>
      </w:r>
      <w:r>
        <w:t>La presente ley tiene por objeto incorporar de manera progresiva aprendizajes de pensamiento computacional, programación y alfabetización en inteligencia artificial en el Currículo Nacional de la Educación Básica, y establecer un programa nacional de formación docente en dichas materias.</w:t>
      </w:r>
    </w:p>
    <w:p>
      <w:pPr>
        <w:jc w:val="both"/>
      </w:pPr>
      <w:r>
        <w:rPr>
          <w:b/>
        </w:rPr>
        <w:t>Artículo 2. Ámbito de aplicación</w:t>
        <w:br/>
      </w:r>
      <w:r>
        <w:t>La presente ley es de aplicación a las instituciones y programas educativos públicos y privados de Educación Básica Regular, Básica Alternativa y Básica Especial, con las adaptaciones que correspondan a cada modalidad, nivel y contexto lingüístico y cultural.</w:t>
      </w:r>
    </w:p>
    <w:p>
      <w:pPr>
        <w:jc w:val="both"/>
      </w:pPr>
      <w:r>
        <w:rPr>
          <w:b/>
        </w:rPr>
        <w:t>Artículo 3. Definiciones</w:t>
        <w:br/>
      </w:r>
      <w:r>
        <w:t>Para efectos de la presente ley se entiende por: a) Pensamiento computacional: capacidad de formular problemas y soluciones mediante descomposición, reconocimiento de patrones, abstracción y diseño de algoritmos, con o sin uso de dispositivos; b) Programación: diseño, escritura y depuración de instrucciones ejecutables por un sistema informático; c) Alfabetización en inteligencia artificial: conocimientos y actitudes para comprender el funcionamiento básico, los usos, los límites, los sesgos y los riesgos de los sistemas de inteligencia artificial, y utilizarlos de forma ética y crítica.</w:t>
      </w:r>
    </w:p>
    <w:p>
      <w:pPr>
        <w:jc w:val="both"/>
      </w:pPr>
      <w:r>
        <w:rPr>
          <w:b/>
        </w:rPr>
        <w:t>Artículo 4. Incorporación curricular progresiva</w:t>
        <w:br/>
      </w:r>
      <w:r>
        <w:t>4.1 El Ministerio de Educación incorpora en el Currículo Nacional de la Educación Básica estándares de aprendizaje de pensamiento computacional desde el nivel inicial, de programación desde el nivel primario y de alfabetización en inteligencia artificial en el nivel secundario. 4.2 La incorporación puede realizarse como competencia propia o articulada a las áreas de Matemática, Ciencia y Tecnología y Educación para el Trabajo. 4.3 Se priorizan estrategias desconectadas, que no requieren dispositivos, para garantizar su aplicación en instituciones educativas sin conectividad.</w:t>
      </w:r>
    </w:p>
    <w:p>
      <w:pPr>
        <w:jc w:val="both"/>
      </w:pPr>
      <w:r>
        <w:rPr>
          <w:b/>
        </w:rPr>
        <w:t>Artículo 5. Uso crítico y seguro de la inteligencia artificial</w:t>
        <w:br/>
      </w:r>
      <w:r>
        <w:t>Los aprendizajes de alfabetización en inteligencia artificial incluyen, como mínimo, la verificación de información, la protección de datos personales conforme a la Ley 29733, el reconocimiento de contenidos sintéticos, la integridad académica y la reflexión sobre los efectos sociales de la automatización.</w:t>
      </w:r>
    </w:p>
    <w:p>
      <w:pPr>
        <w:jc w:val="both"/>
      </w:pPr>
      <w:r>
        <w:rPr>
          <w:b/>
        </w:rPr>
        <w:t>Artículo 6. Programa Nacional de Formación Docente en Competencias Digitales</w:t>
        <w:br/>
      </w:r>
      <w:r>
        <w:t>6.1 El Ministerio de Educación implementa, dentro de su programa de formación en servicio, una ruta de formación docente en pensamiento computacional, programación e inteligencia artificial, con certificación por niveles. 6.2 La formación puede ejecutarse en convenio con universidades licenciadas, institutos y escuelas de educación superior y gobiernos regionales. 6.3 La certificación obtenida es considerada como mérito en los procesos de evaluación de la carrera pública magisterial, conforme a la normativa de la materia.</w:t>
      </w:r>
    </w:p>
    <w:p>
      <w:pPr>
        <w:jc w:val="both"/>
      </w:pPr>
      <w:r>
        <w:rPr>
          <w:b/>
        </w:rPr>
        <w:t>Artículo 7. Formación inicial docente</w:t>
        <w:br/>
      </w:r>
      <w:r>
        <w:t>Las escuelas de educación superior pedagógica y las facultades de educación incorporan en sus planes de estudio contenidos de pensamiento computacional y alfabetización en inteligencia artificial, conforme a los lineamientos que apruebe el Ministerio de Educación.</w:t>
      </w:r>
    </w:p>
    <w:p>
      <w:pPr>
        <w:jc w:val="both"/>
      </w:pPr>
      <w:r>
        <w:rPr>
          <w:b/>
        </w:rPr>
        <w:t>Artículo 8. Recursos educativos abiertos</w:t>
        <w:br/>
      </w:r>
      <w:r>
        <w:t>Los recursos educativos y materiales elaborados con fondos públicos para la aplicación de la presente ley se publican con licencias abiertas, en castellano y, progresivamente, en lenguas originarias.</w:t>
      </w:r>
    </w:p>
    <w:p>
      <w:pPr>
        <w:jc w:val="both"/>
      </w:pPr>
      <w:r>
        <w:rPr>
          <w:b/>
        </w:rPr>
        <w:t>Artículo 9. Evaluación de logros</w:t>
        <w:br/>
      </w:r>
      <w:r>
        <w:t>El Ministerio de Educación incorpora, de manera progresiva, la medición de los aprendizajes regulados por la presente ley en sus evaluaciones nacionales o muestrales, y publica sus resultados desagregados por área de residencia, sexo y tipo de gestión.</w:t>
      </w:r>
    </w:p>
    <w:p>
      <w:pPr>
        <w:jc w:val="both"/>
      </w:pPr>
      <w:r>
        <w:rPr>
          <w:b/>
        </w:rPr>
        <w:t>Artículo 10. Financiamiento</w:t>
        <w:br/>
      </w:r>
      <w:r>
        <w:t>La implementación de la presente ley se financia con cargo al presupuesto institucional del Ministerio de Educación y de los gobiernos regionales, sin demandar recursos adicionales al Tesoro Público, y se ejecuta de manera progresiva según disponibilidad presupuestal.</w:t>
      </w:r>
    </w:p>
    <w:p>
      <w:pPr>
        <w:jc w:val="both"/>
      </w:pPr>
      <w:r>
        <w:rPr>
          <w:b/>
        </w:rPr>
        <w:t>Primera. Disposición Complementaria Final</w:t>
        <w:br/>
      </w:r>
      <w:r>
        <w:t>Reglamentación. El Poder Ejecutivo, mediante decreto supremo refrendado por el Ministro de Educación, reglamenta la presente ley en un plazo de noventa días hábiles contados desde su entrada en vigor.</w:t>
      </w:r>
    </w:p>
    <w:p>
      <w:pPr>
        <w:jc w:val="both"/>
      </w:pPr>
      <w:r>
        <w:rPr>
          <w:b/>
        </w:rPr>
        <w:t>Segunda. Disposición Complementaria Final</w:t>
        <w:br/>
      </w:r>
      <w:r>
        <w:t>Implementación gradual. La incorporación curricular se inicia en el año escolar siguiente a la aprobación de los estándares, comenzando por el nivel secundario, y se completa en todos los niveles en un plazo no mayor de cinco años.</w:t>
      </w:r>
    </w:p>
    <w:p>
      <w:pPr>
        <w:jc w:val="both"/>
      </w:pPr>
      <w:r>
        <w:rPr>
          <w:b/>
        </w:rPr>
        <w:t>Tercera. Disposición Complementaria Final</w:t>
        <w:br/>
      </w:r>
      <w:r>
        <w:t>Informe anual. El Ministerio de Educación remite anualmente a la comisión ordinaria competente en materia de educación un informe sobre el avance de la implementación, docentes certificados y resultados de aprendizaje.</w:t>
      </w:r>
    </w:p>
    <w:p>
      <w:r>
        <w:t>Lima, ___ de __________ de 20__</w:t>
      </w:r>
    </w:p>
    <w:p>
      <w:r>
        <w:br w:type="page"/>
      </w:r>
    </w:p>
    <w:p>
      <w:pPr>
        <w:pStyle w:val="Heading1"/>
      </w:pPr>
      <w:r>
        <w:t>EXPOSICIÓN DE MOTIVOS</w:t>
      </w:r>
    </w:p>
    <w:p>
      <w:pPr>
        <w:pStyle w:val="Heading2"/>
      </w:pPr>
      <w:r>
        <w:t>I. Fundamentos y problema</w:t>
      </w:r>
    </w:p>
    <w:p>
      <w:pPr>
        <w:jc w:val="both"/>
      </w:pPr>
      <w:r>
        <w:t>El Perú obtuvo en PISA 2022 un promedio de 391 puntos en Matemática, nueve puntos menos que en 2018 (400), diferencia que el Minedu califica como estadísticamente significativa; en Lectura y Ciencia alcanzó 408 puntos en ambas, sin cambio significativo (Minedu, informe nacional PISA 2022). El Currículo Nacional de la Educación Básica contempla una competencia transversal vinculada a desenvolverse en entornos virtuales generados por las TIC, pero no define aprendizajes progresivos de pensamiento computacional, programación ni alfabetización en inteligencia artificial, ni existe una ruta nacional obligatoria de formación docente en estas materias. La UNESCO (Informe GEM 2023) advierte que la tecnología en el aula solo mejora el aprendizaje cuando hay propósito pedagógico y docentes preparados. La Ley 31814 promueve el uso de la IA en el país, pero no regula su enseñanza escolar. Sin un mandato legal, la incorporación depende de iniciativas aisladas, lo que reproduce brechas entre escuelas urbanas y rurales y entre gestión pública y privada. El Plan Perú 2050 (Capital del Conocimiento) identifica brechas críticas en competencias STEM y desajuste entre formación y demanda productiva.</w:t>
      </w:r>
    </w:p>
    <w:p>
      <w:pPr>
        <w:pStyle w:val="Heading2"/>
      </w:pPr>
      <w:r>
        <w:t>II. Objeto</w:t>
      </w:r>
    </w:p>
    <w:p>
      <w:pPr>
        <w:jc w:val="both"/>
      </w:pPr>
      <w:r>
        <w:t>Establecer la incorporación progresiva del pensamiento computacional, la programación y la alfabetización en inteligencia artificial en la Educación Básica, así como la formación docente correspondiente.</w:t>
      </w:r>
    </w:p>
    <w:p>
      <w:pPr>
        <w:pStyle w:val="Heading2"/>
      </w:pPr>
      <w:r>
        <w:t>III. Análisis costo-beneficio</w:t>
      </w:r>
    </w:p>
    <w:p>
      <w:pPr>
        <w:jc w:val="both"/>
      </w:pPr>
      <w:r>
        <w:t>La ley no crea gasto directo: ordena ajustes curriculares y la priorización de líneas existentes de formación docente en servicio, financiadas con el presupuesto institucional del Minedu y de los gobiernos regionales, de forma progresiva (art. 79 de la Constitución). La prioridad de estrategias desconectadas reduce la dependencia de equipamiento. Los costos principales son el diseño de estándares, materiales abiertos y horas de formación docente. Los beneficios esperados son mejoras en resolución de problemas y razonamiento lógico, mayor preparación para la demanda laboral digital y menor vulnerabilidad estudiantil frente a la desinformación y al uso acrítico de la IA. El riesgo es la implementación desigual; por ello se exige medición desagregada y reporte anual.</w:t>
      </w:r>
    </w:p>
    <w:p>
      <w:pPr>
        <w:pStyle w:val="Heading2"/>
      </w:pPr>
      <w:r>
        <w:t>IV. Efecto de la vigencia de la norma sobre la legislación nacional</w:t>
      </w:r>
    </w:p>
    <w:p>
      <w:pPr>
        <w:jc w:val="both"/>
      </w:pPr>
      <w:r>
        <w:t>Complementa la Ley 28044, Ley General de Educación, y se articula con la Ley 31814 y la Ley 29733. No modifica ni deroga normas con rango de ley; requiere la modificación del Currículo Nacional de la Educación Básica por el Ministerio de Educación.</w:t>
      </w:r>
    </w:p>
    <w:p>
      <w:pPr>
        <w:pStyle w:val="Heading2"/>
      </w:pPr>
      <w:r>
        <w:t>V. Antecedentes</w:t>
      </w:r>
    </w:p>
    <w:p>
      <w:pPr>
        <w:jc w:val="both"/>
      </w:pPr>
      <w:r>
        <w:t>Por verificar en SPLEY.</w:t>
      </w:r>
    </w:p>
    <w:p>
      <w:pPr>
        <w:pStyle w:val="Heading2"/>
      </w:pPr>
      <w:r>
        <w:t>VI. Indicador de éxito</w:t>
      </w:r>
    </w:p>
    <w:p>
      <w:pPr>
        <w:jc w:val="both"/>
      </w:pPr>
      <w:r>
        <w:t>A 2031, estándares de pensamiento computacional e IA aprobados para todos los niveles de la Educación Básica y resultados de su primera medición nacional publicados, desagregados por área y sexo.</w:t>
      </w:r>
    </w:p>
    <w:p>
      <w:pPr>
        <w:pStyle w:val="Heading2"/>
      </w:pPr>
      <w:r>
        <w:t>VII. Vinculación con la Agenda Legislativa y el Plan Perú 2050</w:t>
      </w:r>
    </w:p>
    <w:p>
      <w:r>
        <w:t>Comisiones temáticas del Plan Perú 2050: Educación (Tres Niveles), Capital Del Conocimiento, Inteligencia Artificial. ODS: 4, 9.</w:t>
      </w:r>
    </w:p>
    <w:p>
      <w:pPr>
        <w:pStyle w:val="Heading2"/>
      </w:pPr>
      <w:r>
        <w:t>VIII. Referencias</w:t>
      </w:r>
    </w:p>
    <w:p>
      <w:pPr>
        <w:pStyle w:val="ListBullet"/>
      </w:pPr>
      <w:r>
        <w:t>Ley 28044, Ley General de Educación — https://www.leyes.congreso.gob.pe/Documentos/Leyes/28044.pdf</w:t>
      </w:r>
    </w:p>
    <w:p>
      <w:pPr>
        <w:pStyle w:val="ListBullet"/>
      </w:pPr>
      <w:r>
        <w:t>Ley 31814, Ley que promueve el uso de la inteligencia artificial en favor del desarrollo económico y social del país — https://leyes.congreso.gob.pe/Documentos/2021_2026/ADLP/Texto_Consolidado/31814-TXM.pdf</w:t>
      </w:r>
    </w:p>
    <w:p>
      <w:pPr>
        <w:pStyle w:val="ListBullet"/>
      </w:pPr>
      <w:r>
        <w:t>Ley 29733, Ley de Protección de Datos Personales — https://www.leyes.congreso.gob.pe/Documentos/Leyes/29733.pdf</w:t>
      </w:r>
    </w:p>
    <w:p>
      <w:pPr>
        <w:pStyle w:val="ListBullet"/>
      </w:pPr>
      <w:r>
        <w:t>Reino Unido (Inglaterra): National curriculum in England: computing programmes of study (2013, obligatorio desde 2014) — https://www.gov.uk/government/publications/national-curriculum-in-england-computing-programmes-of-study</w:t>
      </w:r>
    </w:p>
    <w:p>
      <w:pPr>
        <w:pStyle w:val="ListBullet"/>
      </w:pPr>
      <w:r>
        <w:t>España: Ley Orgánica 3/2020 (LOMLOE), que incorpora la competencia digital en la educación básica — https://www.boe.es/eli/es/lo/2020/12/29/3/con</w:t>
      </w:r>
    </w:p>
    <w:p>
      <w:pPr>
        <w:pStyle w:val="ListBullet"/>
      </w:pPr>
      <w:r>
        <w:t>Minedu: PISA 2022, el Perú mantiene sus resultados en lectura y ciencia — https://www.gob.pe/institucion/minedu/noticias/877904-pisa-2022-el-peru-mantiene-sus-resultados-en-las-competencias-de-lectura-y-ciencia</w:t>
      </w:r>
    </w:p>
    <w:p>
      <w:pPr>
        <w:pStyle w:val="ListBullet"/>
      </w:pPr>
      <w:r>
        <w:t>Minedu: El Perú en PISA 2022. Informe nacional de resultados — https://repositorio.minedu.gob.pe/handle/20.500.12799/10199</w:t>
      </w:r>
    </w:p>
    <w:p>
      <w:pPr>
        <w:pStyle w:val="ListBullet"/>
      </w:pPr>
      <w:r>
        <w:t>Minedu: Currículo Nacional de la Educación Básica — https://www.minedu.gob.pe/curriculo/</w:t>
      </w:r>
    </w:p>
    <w:p>
      <w:pPr>
        <w:pStyle w:val="ListBullet"/>
      </w:pPr>
      <w:r>
        <w:t>UNESCO: Informe GEM 2023, Tecnología en la educación — https://www.unesco.org/gem-report/en/technology</w:t>
      </w:r>
    </w:p>
    <w:p>
      <w:r>
        <w:t>Fuente: Agenda Legislativa Tech Perú 2026–2031 (https://unimauro.github.io/agenda-legislativa-tech/p/TAL-01.html),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incorpora el pensamiento computacional, la programación y la alfabetización en inteligencia artificial en la Educación Básica y fortalece la formación docente en competencias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