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ALFABETIZACIÓN DIGITAL DE LAS PERSONAS ADULTAS MAYORES Y DE LOS CONDUCTORES Y TRABAJADORES DE LA MICRO Y PEQUEÑA EMPRESA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ALFABETIZACIÓN DIGITAL DE LAS PERSONAS ADULTAS MAYORES Y DE LOS CONDUCTORES Y TRABAJADORES DE LA MICRO Y PEQUEÑA EMPRESA</w:t>
      </w:r>
    </w:p>
    <w:p>
      <w:pPr>
        <w:jc w:val="both"/>
      </w:pPr>
      <w:r>
        <w:rPr>
          <w:b/>
        </w:rPr>
        <w:t>Artículo 1. Objeto</w:t>
        <w:br/>
      </w:r>
      <w:r>
        <w:t>La presente ley tiene por objeto promover la alfabetización digital de las personas adultas mayores y de los conductores y trabajadores de la micro y pequeña empresa, a fin de garantizar su inclusión en los servicios públicos y privados digitales y prevenir su exposición a fraudes en línea.</w:t>
      </w:r>
    </w:p>
    <w:p>
      <w:pPr>
        <w:jc w:val="both"/>
      </w:pPr>
      <w:r>
        <w:rPr>
          <w:b/>
        </w:rPr>
        <w:t>Artículo 2. Definición de alfabetización digital</w:t>
        <w:br/>
      </w:r>
      <w:r>
        <w:t>Para efectos de la presente ley, la alfabetización digital comprende las competencias básicas para el uso de dispositivos, la comunicación en línea, la realización de trámites y pagos digitales, la identificación de fraudes y desinformación, y la protección de datos personales.</w:t>
      </w:r>
    </w:p>
    <w:p>
      <w:pPr>
        <w:jc w:val="both"/>
      </w:pPr>
      <w:r>
        <w:rPr>
          <w:b/>
        </w:rPr>
        <w:t>Artículo 3. Programa Nacional de Alfabetización Digital Inclusiva</w:t>
        <w:br/>
      </w:r>
      <w:r>
        <w:t>3.1 Créase el Programa Nacional de Alfabetización Digital Inclusiva, a cargo del Ministerio de la Mujer y Poblaciones Vulnerables en lo referido a personas adultas mayores, y del Ministerio de la Producción en lo referido a la micro y pequeña empresa, con la asistencia técnica de la Presidencia del Consejo de Ministros en materia de transformación digital. 3.2 El programa se ejecuta mediante módulos presenciales, con materiales en castellano y lenguas originarias, y con formatos accesibles.</w:t>
      </w:r>
    </w:p>
    <w:p>
      <w:pPr>
        <w:jc w:val="both"/>
      </w:pPr>
      <w:r>
        <w:rPr>
          <w:b/>
        </w:rPr>
        <w:t>Artículo 4. Ejecución territorial</w:t>
        <w:br/>
      </w:r>
      <w:r>
        <w:t>Las municipalidades, a través de los Centros Integrales de Atención al Adulto Mayor (CIAM), y los gobiernos regionales pueden ejecutar el programa en sus locales, bibliotecas y centros comunitarios, en el marco de sus competencias y con cargo a su presupuesto institucional.</w:t>
      </w:r>
    </w:p>
    <w:p>
      <w:pPr>
        <w:jc w:val="both"/>
      </w:pPr>
      <w:r>
        <w:rPr>
          <w:b/>
        </w:rPr>
        <w:t>Artículo 5. Voluntariado intergeneracional</w:t>
        <w:br/>
      </w:r>
      <w:r>
        <w:t>El Ministerio de Educación promueve que estudiantes de secundaria, institutos y universidades participen como facilitadores voluntarios del programa. Las horas de voluntariado pueden ser reconocidas por las instituciones educativas como actividades de proyección social, conforme a su normativa interna.</w:t>
      </w:r>
    </w:p>
    <w:p>
      <w:pPr>
        <w:jc w:val="both"/>
      </w:pPr>
      <w:r>
        <w:rPr>
          <w:b/>
        </w:rPr>
        <w:t>Artículo 6. Componente MYPE</w:t>
        <w:br/>
      </w:r>
      <w:r>
        <w:t>El componente dirigido a la micro y pequeña empresa incluye, como mínimo, formación en comercio electrónico, medios de pago digitales, facturación electrónica, seguridad digital básica y atención al cliente en canales digitales, y se articula con los servicios de desarrollo empresarial existentes del Ministerio de la Producción.</w:t>
      </w:r>
    </w:p>
    <w:p>
      <w:pPr>
        <w:jc w:val="both"/>
      </w:pPr>
      <w:r>
        <w:rPr>
          <w:b/>
        </w:rPr>
        <w:t>Artículo 7. Atención presencial alternativa</w:t>
        <w:br/>
      </w:r>
      <w:r>
        <w:t>Las entidades de la administración pública que digitalicen trámites o servicios dirigidos a personas adultas mayores mantienen un canal de atención presencial o telefónico asistido, sin costo adicional para el usuario.</w:t>
      </w:r>
    </w:p>
    <w:p>
      <w:pPr>
        <w:jc w:val="both"/>
      </w:pPr>
      <w:r>
        <w:rPr>
          <w:b/>
        </w:rPr>
        <w:t>Artículo 8. Prevención de fraudes</w:t>
        <w:br/>
      </w:r>
      <w:r>
        <w:t>El programa incorpora contenidos de prevención de fraudes digitales elaborados en coordinación con la Superintendencia de Banca, Seguros y AFP y la Policía Nacional del Perú, en el marco de sus competencias.</w:t>
      </w:r>
    </w:p>
    <w:p>
      <w:pPr>
        <w:jc w:val="both"/>
      </w:pPr>
      <w:r>
        <w:rPr>
          <w:b/>
        </w:rPr>
        <w:t>Artículo 9. Metas e información</w:t>
        <w:br/>
      </w:r>
      <w:r>
        <w:t>El programa establece metas anuales de cobertura y publica sus resultados desagregados por sexo, edad, región y área de residencia en la Plataforma Nacional de Datos Abiertos.</w:t>
      </w:r>
    </w:p>
    <w:p>
      <w:pPr>
        <w:jc w:val="both"/>
      </w:pPr>
      <w:r>
        <w:rPr>
          <w:b/>
        </w:rPr>
        <w:t>Artículo 10. Financiamiento</w:t>
        <w:br/>
      </w:r>
      <w:r>
        <w:t>La implementación de la presente ley se financia con cargo a los presupuestos institucionales de las entidades involucradas,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los Ministros de la Mujer y Poblaciones Vulnerables y de la Producción y por el Presidente del Consejo de Ministros.</w:t>
      </w:r>
    </w:p>
    <w:p>
      <w:pPr>
        <w:jc w:val="both"/>
      </w:pPr>
      <w:r>
        <w:rPr>
          <w:b/>
        </w:rPr>
        <w:t>Segunda. Disposición Complementaria Final</w:t>
        <w:br/>
      </w:r>
      <w:r>
        <w:t>Medición. El Instituto Nacional de Estadística e Informática continúa publicando los indicadores de uso de Internet por grupo de edad, que sirven como línea de base para evaluar la presente ley.</w:t>
      </w:r>
    </w:p>
    <w:p>
      <w:r>
        <w:t>Lima, ___ de __________ de 20__</w:t>
      </w:r>
    </w:p>
    <w:p>
      <w:r>
        <w:br w:type="page"/>
      </w:r>
    </w:p>
    <w:p>
      <w:pPr>
        <w:pStyle w:val="Heading1"/>
      </w:pPr>
      <w:r>
        <w:t>EXPOSICIÓN DE MOTIVOS</w:t>
      </w:r>
    </w:p>
    <w:p>
      <w:pPr>
        <w:pStyle w:val="Heading2"/>
      </w:pPr>
      <w:r>
        <w:t>I. Fundamentos y problema</w:t>
      </w:r>
    </w:p>
    <w:p>
      <w:pPr>
        <w:jc w:val="both"/>
      </w:pPr>
      <w:r>
        <w:t>Según el INEI (Estadísticas de las TIC en los hogares, III Trimestre 2025), el 82,2% de la población de 6 y más años usó Internet, pero solo el 51,2% de las personas de 60 y más años lo hizo, el grupo con menor uso después de los niños de 6 a 11 años; en el área rural el uso general fue de 58,9%. El informe del INEI sobre la población adulta mayor (II Trimestre 2025) registra que el 48,3% de las personas adultas mayores usó Internet, con una brecha de 9,7 puntos entre hombres (53,4%) y mujeres (43,7%). La digitalización de trámites, pagos, citas médicas y programas sociales traslada costos a quienes no dominan estas herramientas y los expone a fraudes en línea. En las micro y pequeñas empresas, la falta de habilidades digitales limita el acceso a comercio electrónico, facturación electrónica y medios de pago digitales. La Ley 30490 reconoce derechos de la persona adulta mayor, pero no contiene un mandato específico de alfabetización digital, y no existe un programa nacional articulado con metas medibles para este público.</w:t>
      </w:r>
    </w:p>
    <w:p>
      <w:pPr>
        <w:pStyle w:val="Heading2"/>
      </w:pPr>
      <w:r>
        <w:t>II. Objeto</w:t>
      </w:r>
    </w:p>
    <w:p>
      <w:pPr>
        <w:jc w:val="both"/>
      </w:pPr>
      <w:r>
        <w:t>Promover la alfabetización digital de las personas adultas mayores y de conductores y trabajadores de la micro y pequeña empresa mediante un programa nacional articulado.</w:t>
      </w:r>
    </w:p>
    <w:p>
      <w:pPr>
        <w:pStyle w:val="Heading2"/>
      </w:pPr>
      <w:r>
        <w:t>III. Análisis costo-beneficio</w:t>
      </w:r>
    </w:p>
    <w:p>
      <w:pPr>
        <w:jc w:val="both"/>
      </w:pPr>
      <w:r>
        <w:t>No genera gasto adicional al Tesoro: se ejecuta con presupuestos institucionales de MIMP, PRODUCE, gobiernos regionales y municipalidades, apoyándose en infraestructura existente (CIAM, bibliotecas, colegios) y voluntariado estudiantil. Los costos son materiales, facilitadores y coordinación. Los beneficios incluyen reducción de costos de transacción para acceder a servicios digitales, menor exposición a fraudes, mayor productividad de las MYPE con acceso a pagos y comercio electrónico, y menor carga de atención presencial para el Estado en el mediano plazo. La obligación de mantener canal presencial asistido tiene un costo operativo moderado, pero evita la exclusión por digitalización forzada.</w:t>
      </w:r>
    </w:p>
    <w:p>
      <w:pPr>
        <w:pStyle w:val="Heading2"/>
      </w:pPr>
      <w:r>
        <w:t>IV. Efecto de la vigencia de la norma sobre la legislación nacional</w:t>
      </w:r>
    </w:p>
    <w:p>
      <w:pPr>
        <w:jc w:val="both"/>
      </w:pPr>
      <w:r>
        <w:t>Complementa la Ley 30490, Ley de la Persona Adulta Mayor. No modifica ni deroga normas con rango de ley.</w:t>
      </w:r>
    </w:p>
    <w:p>
      <w:pPr>
        <w:pStyle w:val="Heading2"/>
      </w:pPr>
      <w:r>
        <w:t>V. Antecedentes</w:t>
      </w:r>
    </w:p>
    <w:p>
      <w:pPr>
        <w:jc w:val="both"/>
      </w:pPr>
      <w:r>
        <w:t>Por verificar en SPLEY.</w:t>
      </w:r>
    </w:p>
    <w:p>
      <w:pPr>
        <w:pStyle w:val="Heading2"/>
      </w:pPr>
      <w:r>
        <w:t>VI. Indicador de éxito</w:t>
      </w:r>
    </w:p>
    <w:p>
      <w:pPr>
        <w:jc w:val="both"/>
      </w:pPr>
      <w:r>
        <w:t>A 2031, el uso de Internet en la población de 60 y más años (INEI, III Trimestre) supera el 70% y se reduce a la mitad la brecha entre hombres y mujeres adultos mayores.</w:t>
      </w:r>
    </w:p>
    <w:p>
      <w:pPr>
        <w:pStyle w:val="Heading2"/>
      </w:pPr>
      <w:r>
        <w:t>VII. Vinculación con la Agenda Legislativa y el Plan Perú 2050</w:t>
      </w:r>
    </w:p>
    <w:p>
      <w:r>
        <w:t>Comisiones temáticas del Plan Perú 2050: Cohesión Social, Mipymes, Perú en La Era Digital. ODS: 4, 8, 10.</w:t>
      </w:r>
    </w:p>
    <w:p>
      <w:pPr>
        <w:pStyle w:val="Heading2"/>
      </w:pPr>
      <w:r>
        <w:t>VIII. Referencias</w:t>
      </w:r>
    </w:p>
    <w:p>
      <w:pPr>
        <w:pStyle w:val="ListBullet"/>
      </w:pPr>
      <w:r>
        <w:t>Ley 30490, Ley de la Persona Adulta Mayor — https://www.leyes.congreso.gob.pe/Documentos/Leyes/30490.pdf</w:t>
      </w:r>
    </w:p>
    <w:p>
      <w:pPr>
        <w:pStyle w:val="ListBullet"/>
      </w:pPr>
      <w:r>
        <w:t>Ley 29733, Ley de Protección de Datos Personales — https://www.leyes.congreso.gob.pe/Documentos/Leyes/29733.pdf</w:t>
      </w:r>
    </w:p>
    <w:p>
      <w:pPr>
        <w:pStyle w:val="ListBullet"/>
      </w:pPr>
      <w:r>
        <w:t>Uruguay: Plan Ibirapitá (Decreto 130/015), inclusión digital de jubilados — https://www.gub.uy/presidencia/comunicacion/noticias/plan-ibirapita-inscribe-jubilados-todos-departamentos-uruguay-para-reciban</w:t>
      </w:r>
    </w:p>
    <w:p>
      <w:pPr>
        <w:pStyle w:val="ListBullet"/>
      </w:pPr>
      <w:r>
        <w:t>INEI: Estadísticas de las TIC en los hogares, III Trimestre 2025 (Informe Técnico N.° 04, dic. 2025) — https://www.inei.gob.pe/media/MenuRecursivo/boletines/tic-iii-trimestre_2025_1.pdf</w:t>
      </w:r>
    </w:p>
    <w:p>
      <w:pPr>
        <w:pStyle w:val="ListBullet"/>
      </w:pPr>
      <w:r>
        <w:t>INEI: Situación de la Población Adulta Mayor, II Trimestre 2025 — https://www.inei.gob.pe/media/MenuRecursivo/boletines/informetecnico_situacionpoblacionadultamayor_iit25.pdf</w:t>
      </w:r>
    </w:p>
    <w:p>
      <w:pPr>
        <w:pStyle w:val="ListBullet"/>
      </w:pPr>
      <w:r>
        <w:t>Plataforma Nacional de Datos Abiertos — https://www.datosabiertos.gob.pe/</w:t>
      </w:r>
    </w:p>
    <w:p>
      <w:r>
        <w:t>Fuente: Agenda Legislativa Tech Perú 2026–2031 (https://unimauro.github.io/agenda-legislativa-tech/p/TAL-02.html),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alfabetización digital de las personas adultas mayores y de los conductores y trabajadores de la micro y pequeña empresa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