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PROYECTO DE LEY N.° ____/2026-CR</w:t>
      </w:r>
    </w:p>
    <w:p>
      <w:pPr>
        <w:pStyle w:val="Heading1"/>
      </w:pPr>
      <w:r>
        <w:t>LEY QUE PROMUEVE LA PARTICIPACIÓN DE NIÑAS, ADOLESCENTES Y MUJERES EN CIENCIA, TECNOLOGÍA, INGENIERÍA Y MATEMÁTICAS</w:t>
      </w:r>
    </w:p>
    <w:p>
      <w:r>
        <w:t>El/la congresista que suscribe, ______________________, en ejercicio del derecho de iniciativa legislativa que le confiere el artículo 107 de la Constitución Política del Perú, presenta la siguiente propuesta legislativa:</w:t>
      </w:r>
    </w:p>
    <w:p>
      <w:pPr>
        <w:jc w:val="center"/>
      </w:pPr>
      <w:r>
        <w:rPr>
          <w:b/>
        </w:rPr>
        <w:t>FÓRMULA LEGAL</w:t>
        <w:br/>
      </w:r>
      <w:r>
        <w:t>EL CONGRESO DE LA REPÚBLICA</w:t>
        <w:br/>
        <w:t>Ha dado la Ley siguiente:</w:t>
        <w:br/>
      </w:r>
      <w:r>
        <w:rPr>
          <w:b/>
        </w:rPr>
        <w:t>LEY QUE PROMUEVE LA PARTICIPACIÓN DE NIÑAS, ADOLESCENTES Y MUJERES EN CIENCIA, TECNOLOGÍA, INGENIERÍA Y MATEMÁTICAS</w:t>
      </w:r>
    </w:p>
    <w:p>
      <w:pPr>
        <w:jc w:val="both"/>
      </w:pPr>
      <w:r>
        <w:rPr>
          <w:b/>
        </w:rPr>
        <w:t>Artículo 1. Objeto</w:t>
        <w:br/>
      </w:r>
      <w:r>
        <w:t>La presente ley tiene por objeto promover la participación equitativa de niñas, adolescentes y mujeres en la formación, la investigación, el empleo y el emprendimiento en ciencia, tecnología, ingeniería y matemáticas (STEM).</w:t>
      </w:r>
    </w:p>
    <w:p>
      <w:pPr>
        <w:jc w:val="both"/>
      </w:pPr>
      <w:r>
        <w:rPr>
          <w:b/>
        </w:rPr>
        <w:t>Artículo 2. Orientación vocacional sin estereotipos</w:t>
        <w:br/>
      </w:r>
      <w:r>
        <w:t>El Ministerio de Educación incorpora en las acciones de tutoría y orientación educativa de la Educación Básica contenidos de orientación vocacional libres de estereotipos de género, con referentes femeninos en STEM, y revisa los materiales educativos para eliminar sesgos.</w:t>
      </w:r>
    </w:p>
    <w:p>
      <w:pPr>
        <w:jc w:val="both"/>
      </w:pPr>
      <w:r>
        <w:rPr>
          <w:b/>
        </w:rPr>
        <w:t>Artículo 3. Programa de mentoría</w:t>
        <w:br/>
      </w:r>
      <w:r>
        <w:t>El CONCYTEC, en coordinación con el Ministerio de la Mujer y Poblaciones Vulnerables y el Ministerio de Educación, implementa un programa de mentoría que vincula a estudiantes mujeres de secundaria y educación superior con profesionales e investigadoras STEM, priorizando regiones con menor participación femenina.</w:t>
      </w:r>
    </w:p>
    <w:p>
      <w:pPr>
        <w:jc w:val="both"/>
      </w:pPr>
      <w:r>
        <w:rPr>
          <w:b/>
        </w:rPr>
        <w:t>Artículo 4. Criterios de equidad en financiamiento público</w:t>
        <w:br/>
      </w:r>
      <w:r>
        <w:t>Los concursos de financiamiento de ciencia, tecnología e innovación con fondos públicos incorporan criterios de equidad de género en la conformación de equipos y en la evaluación, así como medidas de ajuste de plazos por maternidad o cuidado, conforme al reglamento.</w:t>
      </w:r>
    </w:p>
    <w:p>
      <w:pPr>
        <w:jc w:val="both"/>
      </w:pPr>
      <w:r>
        <w:rPr>
          <w:b/>
        </w:rPr>
        <w:t>Artículo 5. Instituciones de educación superior</w:t>
        <w:br/>
      </w:r>
      <w:r>
        <w:t>Las universidades e institutos con programas STEM adoptan protocolos de prevención y atención del hostigamiento sexual en laboratorios, prácticas y trabajo de campo, y reportan anualmente su matrícula, egreso y plana docente STEM desagregada por sexo.</w:t>
      </w:r>
    </w:p>
    <w:p>
      <w:pPr>
        <w:jc w:val="both"/>
      </w:pPr>
      <w:r>
        <w:rPr>
          <w:b/>
        </w:rPr>
        <w:t>Artículo 6. Reconocimiento a empleadores</w:t>
        <w:br/>
      </w:r>
      <w:r>
        <w:t>El Ministerio de Trabajo y Promoción del Empleo, en el marco de sus programas de reconocimiento existentes, distingue a las empresas que implementen buenas prácticas de contratación, retención y promoción de mujeres en puestos STEM.</w:t>
      </w:r>
    </w:p>
    <w:p>
      <w:pPr>
        <w:jc w:val="both"/>
      </w:pPr>
      <w:r>
        <w:rPr>
          <w:b/>
        </w:rPr>
        <w:t>Artículo 7. Observatorio y reporte anual</w:t>
        <w:br/>
      </w:r>
      <w:r>
        <w:t>El CONCYTEC publica anualmente, en formato de datos abiertos, un reporte de brechas de género en STEM con indicadores de matrícula, egreso, investigadoras registradas, financiamiento adjudicado y empleo, sobre la base de información del Ministerio de Educación, la SUNEDU, el INEI y el propio CONCYTEC.</w:t>
      </w:r>
    </w:p>
    <w:p>
      <w:pPr>
        <w:jc w:val="both"/>
      </w:pPr>
      <w:r>
        <w:rPr>
          <w:b/>
        </w:rPr>
        <w:t>Artículo 8. Financiamiento</w:t>
        <w:br/>
      </w:r>
      <w:r>
        <w:t>La implementación de la presente ley se financia con cargo a los presupuestos institucionales de las entidades involucradas, sin demandar recursos adicionales al Tesoro Público.</w:t>
      </w:r>
    </w:p>
    <w:p>
      <w:pPr>
        <w:jc w:val="both"/>
      </w:pPr>
      <w:r>
        <w:rPr>
          <w:b/>
        </w:rPr>
        <w:t>Primera. Disposición Complementaria Final</w:t>
        <w:br/>
      </w:r>
      <w:r>
        <w:t>Reglamentación. El Poder Ejecutivo reglamenta la presente ley en un plazo de noventa días hábiles mediante decreto supremo refrendado por el Presidente del Consejo de Ministros y los Ministros de Educación y de la Mujer y Poblaciones Vulnerables.</w:t>
      </w:r>
    </w:p>
    <w:p>
      <w:pPr>
        <w:jc w:val="both"/>
      </w:pPr>
      <w:r>
        <w:rPr>
          <w:b/>
        </w:rPr>
        <w:t>Segunda. Disposición Complementaria Final</w:t>
        <w:br/>
      </w:r>
      <w:r>
        <w:t>Línea de base. El primer reporte anual a que se refiere el artículo 7 se publica en un plazo no mayor de un año desde la entrada en vigor del reglamento y establece la línea de base y las metas al 2031.</w:t>
      </w:r>
    </w:p>
    <w:p>
      <w:r>
        <w:t>Lima, ___ de __________ de 20__</w:t>
      </w:r>
    </w:p>
    <w:p>
      <w:r>
        <w:br w:type="page"/>
      </w:r>
    </w:p>
    <w:p>
      <w:pPr>
        <w:pStyle w:val="Heading1"/>
      </w:pPr>
      <w:r>
        <w:t>EXPOSICIÓN DE MOTIVOS</w:t>
      </w:r>
    </w:p>
    <w:p>
      <w:pPr>
        <w:pStyle w:val="Heading2"/>
      </w:pPr>
      <w:r>
        <w:t>I. Fundamentos y problema</w:t>
      </w:r>
    </w:p>
    <w:p>
      <w:pPr>
        <w:jc w:val="both"/>
      </w:pPr>
      <w:r>
        <w:t>La UNESCO documenta que, a nivel mundial, las mujeres siguen subrepresentadas en carreras y empleos STEM, y que los estereotipos de género afectan la autopercepción de niñas y adolescentes en matemáticas y ciencias desde edades tempranas. En el Perú, la brecha digital de género también es visible en la población adulta: el INEI (TIC, III Trimestre 2025) reporta que el 83,6% de los hombres de 6 y más años usó Internet frente al 80,9% de las mujeres, brecha que se amplía en la población adulta mayor (53,4% frente a 43,7%, según el informe de población adulta mayor del II Trimestre 2025). La Ley 28983 obliga al Estado a promover la igualdad de oportunidades, pero no contiene medidas específicas para la ciencia y la tecnología, y no existe una medición oficial periódica y pública de la participación femenina en matrícula STEM, docencia universitaria STEM, investigadores registrados y financiamiento de proyectos. Sin datos ni metas, las acciones dependen de iniciativas voluntarias de universidades, empresas y organizaciones civiles.</w:t>
      </w:r>
    </w:p>
    <w:p>
      <w:pPr>
        <w:pStyle w:val="Heading2"/>
      </w:pPr>
      <w:r>
        <w:t>II. Objeto</w:t>
      </w:r>
    </w:p>
    <w:p>
      <w:pPr>
        <w:jc w:val="both"/>
      </w:pPr>
      <w:r>
        <w:t>Promover la participación de niñas, adolescentes y mujeres en STEM mediante medidas educativas, de financiamiento y de medición.</w:t>
      </w:r>
    </w:p>
    <w:p>
      <w:pPr>
        <w:pStyle w:val="Heading2"/>
      </w:pPr>
      <w:r>
        <w:t>III. Análisis costo-beneficio</w:t>
      </w:r>
    </w:p>
    <w:p>
      <w:pPr>
        <w:jc w:val="both"/>
      </w:pPr>
      <w:r>
        <w:t>Las medidas son principalmente normativas, de información y de reorientación de programas existentes (tutoría, concursos, reconocimientos), con costo fiscal bajo y financiadas con presupuestos institucionales (art. 79). El principal costo es la producción del reporte anual y la mentoría, que puede ejecutarse con alianzas académicas y voluntariado profesional. Los beneficios son la ampliación del talento disponible para sectores tecnológicos, mejoras en innovación por diversidad de equipos y reducción de brechas salariales de género, dado que las ocupaciones STEM suelen tener mejores remuneraciones. La medición pública permite evaluar resultados y corregir.</w:t>
      </w:r>
    </w:p>
    <w:p>
      <w:pPr>
        <w:pStyle w:val="Heading2"/>
      </w:pPr>
      <w:r>
        <w:t>IV. Efecto de la vigencia de la norma sobre la legislación nacional</w:t>
      </w:r>
    </w:p>
    <w:p>
      <w:pPr>
        <w:jc w:val="both"/>
      </w:pPr>
      <w:r>
        <w:t>Complementa la Ley 28983 y la Ley 28303. No modifica ni deroga normas con rango de ley.</w:t>
      </w:r>
    </w:p>
    <w:p>
      <w:pPr>
        <w:pStyle w:val="Heading2"/>
      </w:pPr>
      <w:r>
        <w:t>V. Antecedentes</w:t>
      </w:r>
    </w:p>
    <w:p>
      <w:pPr>
        <w:jc w:val="both"/>
      </w:pPr>
      <w:r>
        <w:t>Por verificar en SPLEY.</w:t>
      </w:r>
    </w:p>
    <w:p>
      <w:pPr>
        <w:pStyle w:val="Heading2"/>
      </w:pPr>
      <w:r>
        <w:t>VI. Indicador de éxito</w:t>
      </w:r>
    </w:p>
    <w:p>
      <w:pPr>
        <w:jc w:val="both"/>
      </w:pPr>
      <w:r>
        <w:t>A 2031, reporte anual de brechas de género en STEM publicado por cinco años consecutivos y aumento verificable de la proporción de mujeres en matrícula STEM respecto de la línea de base.</w:t>
      </w:r>
    </w:p>
    <w:p>
      <w:pPr>
        <w:pStyle w:val="Heading2"/>
      </w:pPr>
      <w:r>
        <w:t>VII. Vinculación con la Agenda Legislativa y el Plan Perú 2050</w:t>
      </w:r>
    </w:p>
    <w:p>
      <w:r>
        <w:t>Comisiones temáticas del Plan Perú 2050: Capital Del Conocimiento, Ciencia y Tecnología, Cohesión Social. ODS: 4, 5, 9.</w:t>
      </w:r>
    </w:p>
    <w:p>
      <w:pPr>
        <w:pStyle w:val="Heading2"/>
      </w:pPr>
      <w:r>
        <w:t>VIII. Referencias</w:t>
      </w:r>
    </w:p>
    <w:p>
      <w:pPr>
        <w:pStyle w:val="ListBullet"/>
      </w:pPr>
      <w:r>
        <w:t>Ley 28983, Ley de igualdad de oportunidades entre mujeres y hombres — https://www.leyes.congreso.gob.pe/Documentos/Leyes/28983.pdf</w:t>
      </w:r>
    </w:p>
    <w:p>
      <w:pPr>
        <w:pStyle w:val="ListBullet"/>
      </w:pPr>
      <w:r>
        <w:t>Ley 28303, Ley Marco de Ciencia, Tecnología e Innovación Tecnológica — https://www.leyes.congreso.gob.pe/Documentos/Leyes/28303.pdf</w:t>
      </w:r>
    </w:p>
    <w:p>
      <w:pPr>
        <w:pStyle w:val="ListBullet"/>
      </w:pPr>
      <w:r>
        <w:t>Ley 30220, Ley Universitaria — https://www.leyes.congreso.gob.pe/Documentos/Leyes/30220.pdf</w:t>
      </w:r>
    </w:p>
    <w:p>
      <w:pPr>
        <w:pStyle w:val="ListBullet"/>
      </w:pPr>
      <w:r>
        <w:t>Chile: Política Nacional de Igualdad de Género en Ciencia, Tecnología, Conocimiento e Innovación (Diario Oficial, 20-09-2021) — https://www.diariooficial.interior.gob.cl/publicaciones/2021/09/20/43057/01/2011080.pdf</w:t>
      </w:r>
    </w:p>
    <w:p>
      <w:pPr>
        <w:pStyle w:val="ListBullet"/>
      </w:pPr>
      <w:r>
        <w:t>UNESCO: Girls' and women's education in STEM — https://www.unesco.org/en/gender-equality/education/stem</w:t>
      </w:r>
    </w:p>
    <w:p>
      <w:pPr>
        <w:pStyle w:val="ListBullet"/>
      </w:pPr>
      <w:r>
        <w:t>INEI: Estadísticas de las TIC en los hogares, III Trimestre 2025 (Informe Técnico N.° 04, dic. 2025) — https://www.inei.gob.pe/media/MenuRecursivo/boletines/tic-iii-trimestre_2025_1.pdf</w:t>
      </w:r>
    </w:p>
    <w:p>
      <w:pPr>
        <w:pStyle w:val="ListBullet"/>
      </w:pPr>
      <w:r>
        <w:t>INEI: Situación de la Población Adulta Mayor, II Trimestre 2025 — https://www.inei.gob.pe/media/MenuRecursivo/boletines/informetecnico_situacionpoblacionadultamayor_iit25.pdf</w:t>
      </w:r>
    </w:p>
    <w:p>
      <w:r>
        <w:t>Fuente: Agenda Legislativa Tech Perú 2026–2031 (https://unimauro.github.io/agenda-legislativa-tech/p/TAL-05.html), propuesta ciudadana CC BY 4.0.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Ley que promueve la participación de niñas, adolescentes y mujeres en ciencia, tecnología, ingeniería y matemáticas</dc:title>
  <dc:subject/>
  <dc:creator>Agenda Legislativa Tech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